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shd w:val="clear" w:color="E36C0A" w:fill="D9D9D9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23"/>
        <w:gridCol w:w="1687"/>
        <w:gridCol w:w="1546"/>
      </w:tblGrid>
      <w:tr w:rsidR="00906348" w:rsidRPr="00906348" w:rsidTr="008C721D">
        <w:trPr>
          <w:trHeight w:val="282"/>
        </w:trPr>
        <w:tc>
          <w:tcPr>
            <w:tcW w:w="5883" w:type="dxa"/>
            <w:vMerge w:val="restart"/>
            <w:shd w:val="clear" w:color="E36C0A" w:fill="D9D9D9"/>
          </w:tcPr>
          <w:p w:rsidR="00906348" w:rsidRPr="00906348" w:rsidRDefault="00906348" w:rsidP="00906348">
            <w:pPr>
              <w:ind w:left="567" w:hanging="567"/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>2</w:t>
            </w:r>
            <w:r w:rsidRPr="00906348">
              <w:rPr>
                <w:b/>
                <w:szCs w:val="20"/>
              </w:rPr>
              <w:t>.</w:t>
            </w:r>
            <w:r w:rsidRPr="00906348">
              <w:rPr>
                <w:b/>
                <w:szCs w:val="20"/>
              </w:rPr>
              <w:tab/>
              <w:t>O</w:t>
            </w:r>
            <w:r>
              <w:rPr>
                <w:b/>
                <w:szCs w:val="20"/>
              </w:rPr>
              <w:t>rganisatie</w:t>
            </w:r>
          </w:p>
          <w:p w:rsidR="00906348" w:rsidRPr="00906348" w:rsidRDefault="00906348" w:rsidP="00906348">
            <w:pPr>
              <w:rPr>
                <w:b/>
                <w:sz w:val="20"/>
                <w:szCs w:val="20"/>
              </w:rPr>
            </w:pPr>
          </w:p>
          <w:p w:rsidR="00906348" w:rsidRPr="00906348" w:rsidRDefault="00906348" w:rsidP="00906348">
            <w:pPr>
              <w:ind w:left="567" w:hanging="567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2.10</w:t>
            </w:r>
            <w:r w:rsidRPr="00906348"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>Klokkenluidersregeling</w:t>
            </w:r>
          </w:p>
        </w:tc>
        <w:tc>
          <w:tcPr>
            <w:tcW w:w="1701" w:type="dxa"/>
            <w:shd w:val="clear" w:color="E36C0A" w:fill="D9D9D9"/>
          </w:tcPr>
          <w:p w:rsidR="00906348" w:rsidRPr="00906348" w:rsidRDefault="000048D1" w:rsidP="0090634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906348" w:rsidRPr="00906348">
              <w:rPr>
                <w:b/>
                <w:szCs w:val="20"/>
              </w:rPr>
              <w:t>1-</w:t>
            </w:r>
            <w:r>
              <w:rPr>
                <w:b/>
                <w:szCs w:val="20"/>
              </w:rPr>
              <w:t>12</w:t>
            </w:r>
            <w:r w:rsidR="00906348" w:rsidRPr="00906348">
              <w:rPr>
                <w:b/>
                <w:szCs w:val="20"/>
              </w:rPr>
              <w:t>-2014</w:t>
            </w:r>
          </w:p>
          <w:p w:rsidR="00906348" w:rsidRPr="00906348" w:rsidRDefault="00906348" w:rsidP="00906348">
            <w:pPr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E36C0A" w:fill="D9D9D9"/>
          </w:tcPr>
          <w:p w:rsidR="00906348" w:rsidRPr="00906348" w:rsidRDefault="00906348" w:rsidP="00906348">
            <w:pPr>
              <w:jc w:val="right"/>
              <w:rPr>
                <w:b/>
                <w:szCs w:val="20"/>
              </w:rPr>
            </w:pPr>
            <w:r w:rsidRPr="00906348">
              <w:rPr>
                <w:b/>
                <w:szCs w:val="20"/>
              </w:rPr>
              <w:t>Versie 1</w:t>
            </w:r>
          </w:p>
          <w:p w:rsidR="00906348" w:rsidRPr="00906348" w:rsidRDefault="00906348" w:rsidP="00906348">
            <w:pPr>
              <w:jc w:val="right"/>
              <w:rPr>
                <w:b/>
                <w:szCs w:val="20"/>
              </w:rPr>
            </w:pPr>
          </w:p>
        </w:tc>
      </w:tr>
      <w:tr w:rsidR="00906348" w:rsidRPr="00906348" w:rsidTr="008C721D">
        <w:trPr>
          <w:trHeight w:val="282"/>
        </w:trPr>
        <w:tc>
          <w:tcPr>
            <w:tcW w:w="5883" w:type="dxa"/>
            <w:vMerge/>
            <w:shd w:val="clear" w:color="E36C0A" w:fill="D9D9D9"/>
          </w:tcPr>
          <w:p w:rsidR="00906348" w:rsidRPr="00906348" w:rsidRDefault="00906348" w:rsidP="0090634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E36C0A" w:fill="D9D9D9"/>
          </w:tcPr>
          <w:p w:rsidR="00906348" w:rsidRPr="00906348" w:rsidRDefault="00906348" w:rsidP="00906348">
            <w:pPr>
              <w:jc w:val="right"/>
              <w:rPr>
                <w:b/>
                <w:szCs w:val="20"/>
              </w:rPr>
            </w:pPr>
            <w:r w:rsidRPr="00906348">
              <w:rPr>
                <w:b/>
                <w:szCs w:val="20"/>
              </w:rPr>
              <w:t>Status</w:t>
            </w:r>
          </w:p>
        </w:tc>
        <w:tc>
          <w:tcPr>
            <w:tcW w:w="1559" w:type="dxa"/>
            <w:shd w:val="clear" w:color="E36C0A" w:fill="D9D9D9"/>
          </w:tcPr>
          <w:p w:rsidR="00906348" w:rsidRPr="00906348" w:rsidRDefault="00906348" w:rsidP="00906348">
            <w:pPr>
              <w:jc w:val="right"/>
              <w:rPr>
                <w:b/>
                <w:szCs w:val="20"/>
              </w:rPr>
            </w:pPr>
            <w:r w:rsidRPr="00906348">
              <w:rPr>
                <w:b/>
                <w:szCs w:val="20"/>
              </w:rPr>
              <w:t>Definitief</w:t>
            </w:r>
          </w:p>
        </w:tc>
      </w:tr>
    </w:tbl>
    <w:p w:rsidR="00906348" w:rsidRDefault="0090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C50E92">
        <w:tc>
          <w:tcPr>
            <w:tcW w:w="9212" w:type="dxa"/>
          </w:tcPr>
          <w:p w:rsidR="00C50E92" w:rsidRDefault="00C50E92">
            <w:pPr>
              <w:rPr>
                <w:b/>
              </w:rPr>
            </w:pPr>
            <w:r>
              <w:rPr>
                <w:b/>
              </w:rPr>
              <w:t>Inleiding</w:t>
            </w:r>
          </w:p>
        </w:tc>
      </w:tr>
    </w:tbl>
    <w:p w:rsidR="00C50E92" w:rsidRDefault="00C50E92"/>
    <w:p w:rsidR="00CA59C3" w:rsidRPr="00CA59C3" w:rsidRDefault="00763B69" w:rsidP="00CA59C3">
      <w:pPr>
        <w:rPr>
          <w:sz w:val="20"/>
          <w:szCs w:val="20"/>
        </w:rPr>
      </w:pPr>
      <w:r>
        <w:rPr>
          <w:sz w:val="20"/>
          <w:szCs w:val="20"/>
        </w:rPr>
        <w:t>Talent</w:t>
      </w:r>
      <w:r w:rsidR="00CA59C3" w:rsidRPr="00CA59C3">
        <w:rPr>
          <w:sz w:val="20"/>
          <w:szCs w:val="20"/>
        </w:rPr>
        <w:t xml:space="preserve"> Primair hecht veel waarde aan Good Governance: optimalisering van bedrijfsproce</w:t>
      </w:r>
      <w:r w:rsidR="00CA59C3" w:rsidRPr="00CA59C3">
        <w:rPr>
          <w:sz w:val="20"/>
          <w:szCs w:val="20"/>
        </w:rPr>
        <w:t>s</w:t>
      </w:r>
      <w:r w:rsidR="00CA59C3" w:rsidRPr="00CA59C3">
        <w:rPr>
          <w:sz w:val="20"/>
          <w:szCs w:val="20"/>
        </w:rPr>
        <w:t>sen en een zo groot mogelijke transparantie daarin. Door het aanvaarden van de door de PO-raad in 2010 gep</w:t>
      </w:r>
      <w:r w:rsidR="00CA59C3" w:rsidRPr="00CA59C3">
        <w:rPr>
          <w:sz w:val="20"/>
          <w:szCs w:val="20"/>
        </w:rPr>
        <w:t>u</w:t>
      </w:r>
      <w:r w:rsidR="00CA59C3" w:rsidRPr="00CA59C3">
        <w:rPr>
          <w:sz w:val="20"/>
          <w:szCs w:val="20"/>
        </w:rPr>
        <w:t>bliceerde Code Goed Onderwijs, Goed bestuur moet de toezichthouder (Raad van To</w:t>
      </w:r>
      <w:r w:rsidR="00CA59C3" w:rsidRPr="00CA59C3">
        <w:rPr>
          <w:sz w:val="20"/>
          <w:szCs w:val="20"/>
        </w:rPr>
        <w:t>e</w:t>
      </w:r>
      <w:r w:rsidR="00CA59C3" w:rsidRPr="00CA59C3">
        <w:rPr>
          <w:sz w:val="20"/>
          <w:szCs w:val="20"/>
        </w:rPr>
        <w:t xml:space="preserve">zicht) erop toezien dat het bestuur van </w:t>
      </w:r>
      <w:r>
        <w:rPr>
          <w:sz w:val="20"/>
          <w:szCs w:val="20"/>
        </w:rPr>
        <w:t>Talent</w:t>
      </w:r>
      <w:r w:rsidR="00CA59C3" w:rsidRPr="00CA59C3">
        <w:rPr>
          <w:sz w:val="20"/>
          <w:szCs w:val="20"/>
        </w:rPr>
        <w:t xml:space="preserve"> Primair beschikt over een zogenaamde “klokkenluidersr</w:t>
      </w:r>
      <w:r w:rsidR="00CA59C3" w:rsidRPr="00CA59C3">
        <w:rPr>
          <w:sz w:val="20"/>
          <w:szCs w:val="20"/>
        </w:rPr>
        <w:t>e</w:t>
      </w:r>
      <w:r w:rsidR="00CA59C3" w:rsidRPr="00CA59C3">
        <w:rPr>
          <w:sz w:val="20"/>
          <w:szCs w:val="20"/>
        </w:rPr>
        <w:t>geling”.</w:t>
      </w:r>
      <w:r w:rsidR="00CA59C3">
        <w:rPr>
          <w:sz w:val="20"/>
          <w:szCs w:val="20"/>
        </w:rPr>
        <w:t xml:space="preserve"> </w:t>
      </w:r>
      <w:r w:rsidR="00CA59C3" w:rsidRPr="00CA3DB9">
        <w:rPr>
          <w:rStyle w:val="CharacterStyle2"/>
          <w:bCs/>
          <w:spacing w:val="-1"/>
          <w:szCs w:val="22"/>
        </w:rPr>
        <w:t xml:space="preserve">Ter bescherming van de melder van een misstand heeft </w:t>
      </w:r>
      <w:r>
        <w:rPr>
          <w:rStyle w:val="CharacterStyle2"/>
          <w:bCs/>
          <w:spacing w:val="-1"/>
          <w:szCs w:val="22"/>
        </w:rPr>
        <w:t>Talent</w:t>
      </w:r>
      <w:r w:rsidR="00CA59C3" w:rsidRPr="00CA3DB9">
        <w:rPr>
          <w:rStyle w:val="CharacterStyle2"/>
          <w:bCs/>
          <w:spacing w:val="-1"/>
          <w:szCs w:val="22"/>
        </w:rPr>
        <w:t xml:space="preserve"> Primair deze klokkenluidersregeling opg</w:t>
      </w:r>
      <w:r w:rsidR="00CA59C3" w:rsidRPr="00CA3DB9">
        <w:rPr>
          <w:rStyle w:val="CharacterStyle2"/>
          <w:bCs/>
          <w:spacing w:val="-1"/>
          <w:szCs w:val="22"/>
        </w:rPr>
        <w:t>e</w:t>
      </w:r>
      <w:r w:rsidR="00CA59C3" w:rsidRPr="00CA3DB9">
        <w:rPr>
          <w:rStyle w:val="CharacterStyle2"/>
          <w:bCs/>
          <w:spacing w:val="-1"/>
          <w:szCs w:val="22"/>
        </w:rPr>
        <w:t>steld.</w:t>
      </w:r>
    </w:p>
    <w:p w:rsidR="00C50E92" w:rsidRDefault="00C50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C50E92">
        <w:tc>
          <w:tcPr>
            <w:tcW w:w="9212" w:type="dxa"/>
          </w:tcPr>
          <w:p w:rsidR="00C50E92" w:rsidRDefault="00715E51">
            <w:pPr>
              <w:rPr>
                <w:b/>
              </w:rPr>
            </w:pPr>
            <w:r w:rsidRPr="00011E73">
              <w:rPr>
                <w:rStyle w:val="CharacterStyle1"/>
                <w:b/>
                <w:bCs/>
                <w:sz w:val="22"/>
                <w:szCs w:val="22"/>
              </w:rPr>
              <w:t>Hoofdstuk 1 Algemene bepalingen</w:t>
            </w:r>
          </w:p>
        </w:tc>
      </w:tr>
    </w:tbl>
    <w:p w:rsidR="00715E51" w:rsidRPr="00715E51" w:rsidRDefault="00715E51" w:rsidP="00715E51">
      <w:pPr>
        <w:widowControl w:val="0"/>
        <w:kinsoku w:val="0"/>
        <w:spacing w:before="252" w:line="208" w:lineRule="auto"/>
        <w:rPr>
          <w:b/>
          <w:bCs/>
          <w:szCs w:val="22"/>
        </w:rPr>
      </w:pPr>
      <w:r w:rsidRPr="00715E51">
        <w:rPr>
          <w:b/>
          <w:bCs/>
          <w:szCs w:val="22"/>
        </w:rPr>
        <w:t>Artikel 1</w:t>
      </w:r>
    </w:p>
    <w:p w:rsidR="00715E51" w:rsidRPr="00CA3DB9" w:rsidRDefault="00715E51" w:rsidP="00715E51">
      <w:pPr>
        <w:widowControl w:val="0"/>
        <w:kinsoku w:val="0"/>
        <w:ind w:left="284" w:hanging="284"/>
        <w:rPr>
          <w:sz w:val="20"/>
          <w:szCs w:val="22"/>
        </w:rPr>
      </w:pPr>
      <w:r w:rsidRPr="00CA3DB9">
        <w:rPr>
          <w:sz w:val="20"/>
          <w:szCs w:val="22"/>
        </w:rPr>
        <w:t xml:space="preserve">1. </w:t>
      </w:r>
      <w:r w:rsidRPr="00CA3DB9">
        <w:rPr>
          <w:sz w:val="20"/>
          <w:szCs w:val="22"/>
        </w:rPr>
        <w:tab/>
        <w:t>In deze regeling wordt verstaan onder:</w:t>
      </w:r>
    </w:p>
    <w:p w:rsidR="00715E51" w:rsidRPr="00CA3DB9" w:rsidRDefault="00715E51" w:rsidP="00715E51">
      <w:pPr>
        <w:widowControl w:val="0"/>
        <w:numPr>
          <w:ilvl w:val="0"/>
          <w:numId w:val="4"/>
        </w:numPr>
        <w:tabs>
          <w:tab w:val="clear" w:pos="216"/>
        </w:tabs>
        <w:kinsoku w:val="0"/>
        <w:ind w:left="567" w:right="144" w:hanging="283"/>
        <w:rPr>
          <w:sz w:val="20"/>
          <w:szCs w:val="22"/>
        </w:rPr>
      </w:pPr>
      <w:r w:rsidRPr="00CA3DB9">
        <w:rPr>
          <w:i/>
          <w:iCs/>
          <w:spacing w:val="-1"/>
          <w:sz w:val="20"/>
          <w:szCs w:val="22"/>
        </w:rPr>
        <w:t xml:space="preserve">Bestuur: </w:t>
      </w:r>
      <w:r w:rsidRPr="00CA3DB9">
        <w:rPr>
          <w:spacing w:val="-1"/>
          <w:sz w:val="20"/>
          <w:szCs w:val="22"/>
        </w:rPr>
        <w:t>de natuurlijke persoon/personen of het orgaan volgens de statuten belast met het b</w:t>
      </w:r>
      <w:r w:rsidRPr="00CA3DB9">
        <w:rPr>
          <w:spacing w:val="-1"/>
          <w:sz w:val="20"/>
          <w:szCs w:val="22"/>
        </w:rPr>
        <w:t>e</w:t>
      </w:r>
      <w:r w:rsidRPr="00CA3DB9">
        <w:rPr>
          <w:spacing w:val="-1"/>
          <w:sz w:val="20"/>
          <w:szCs w:val="22"/>
        </w:rPr>
        <w:t xml:space="preserve">stuur </w:t>
      </w:r>
      <w:r w:rsidRPr="00CA3DB9">
        <w:rPr>
          <w:sz w:val="20"/>
          <w:szCs w:val="22"/>
        </w:rPr>
        <w:t>van de instelling voor primair onderwijs;</w:t>
      </w:r>
    </w:p>
    <w:p w:rsidR="00715E51" w:rsidRPr="00CA3DB9" w:rsidRDefault="00715E51" w:rsidP="003F353B">
      <w:pPr>
        <w:widowControl w:val="0"/>
        <w:numPr>
          <w:ilvl w:val="0"/>
          <w:numId w:val="4"/>
        </w:numPr>
        <w:tabs>
          <w:tab w:val="clear" w:pos="216"/>
        </w:tabs>
        <w:kinsoku w:val="0"/>
        <w:ind w:left="567" w:hanging="283"/>
        <w:rPr>
          <w:sz w:val="20"/>
          <w:szCs w:val="22"/>
        </w:rPr>
      </w:pPr>
      <w:r w:rsidRPr="00CA3DB9">
        <w:rPr>
          <w:i/>
          <w:iCs/>
          <w:spacing w:val="-2"/>
          <w:sz w:val="20"/>
          <w:szCs w:val="22"/>
        </w:rPr>
        <w:t xml:space="preserve">Raad van toezicht: </w:t>
      </w:r>
      <w:r w:rsidRPr="00CA3DB9">
        <w:rPr>
          <w:spacing w:val="-2"/>
          <w:sz w:val="20"/>
          <w:szCs w:val="22"/>
        </w:rPr>
        <w:t xml:space="preserve">de natuurlijke persoon/personen of het orgaan belast met het toezicht op het </w:t>
      </w:r>
      <w:r w:rsidRPr="00CA3DB9">
        <w:rPr>
          <w:sz w:val="20"/>
          <w:szCs w:val="22"/>
        </w:rPr>
        <w:t>onder a bedoelde bestuur;</w:t>
      </w:r>
    </w:p>
    <w:p w:rsidR="00715E51" w:rsidRPr="00CA3DB9" w:rsidRDefault="00715E51" w:rsidP="00715E51">
      <w:pPr>
        <w:widowControl w:val="0"/>
        <w:numPr>
          <w:ilvl w:val="0"/>
          <w:numId w:val="4"/>
        </w:numPr>
        <w:tabs>
          <w:tab w:val="clear" w:pos="216"/>
        </w:tabs>
        <w:kinsoku w:val="0"/>
        <w:spacing w:before="36" w:line="208" w:lineRule="auto"/>
        <w:ind w:left="567" w:hanging="283"/>
        <w:rPr>
          <w:i/>
          <w:iCs/>
          <w:sz w:val="20"/>
          <w:szCs w:val="22"/>
        </w:rPr>
      </w:pPr>
      <w:r w:rsidRPr="00CA3DB9">
        <w:rPr>
          <w:i/>
          <w:iCs/>
          <w:sz w:val="20"/>
          <w:szCs w:val="22"/>
        </w:rPr>
        <w:t>Werknemer:</w:t>
      </w:r>
    </w:p>
    <w:p w:rsidR="00715E51" w:rsidRPr="00CA3DB9" w:rsidRDefault="00715E51" w:rsidP="003F353B">
      <w:pPr>
        <w:widowControl w:val="0"/>
        <w:kinsoku w:val="0"/>
        <w:ind w:left="709" w:hanging="142"/>
        <w:rPr>
          <w:sz w:val="20"/>
          <w:szCs w:val="22"/>
        </w:rPr>
      </w:pPr>
      <w:r w:rsidRPr="00CA3DB9">
        <w:rPr>
          <w:spacing w:val="-3"/>
          <w:sz w:val="20"/>
          <w:szCs w:val="22"/>
        </w:rPr>
        <w:t xml:space="preserve">- de natuurlijke persoon die in een privaatrechtelijke of publiekrechtelijke dienstbetrekking tot de </w:t>
      </w:r>
      <w:r w:rsidRPr="00CA3DB9">
        <w:rPr>
          <w:sz w:val="20"/>
          <w:szCs w:val="22"/>
        </w:rPr>
        <w:t>werkgever staat, dan wel</w:t>
      </w:r>
    </w:p>
    <w:p w:rsidR="00715E51" w:rsidRPr="00CA3DB9" w:rsidRDefault="00715E51" w:rsidP="003F353B">
      <w:pPr>
        <w:widowControl w:val="0"/>
        <w:kinsoku w:val="0"/>
        <w:ind w:left="709" w:hanging="142"/>
        <w:rPr>
          <w:sz w:val="20"/>
          <w:szCs w:val="22"/>
        </w:rPr>
      </w:pPr>
      <w:r w:rsidRPr="00CA3DB9">
        <w:rPr>
          <w:sz w:val="20"/>
          <w:szCs w:val="22"/>
        </w:rPr>
        <w:t xml:space="preserve">- de natuurlijke persoon die in een andere met een dienstbetrekking gelijk te stellen </w:t>
      </w:r>
      <w:r w:rsidRPr="00CA3DB9">
        <w:rPr>
          <w:spacing w:val="-5"/>
          <w:sz w:val="20"/>
          <w:szCs w:val="22"/>
        </w:rPr>
        <w:t>rechtsve</w:t>
      </w:r>
      <w:r w:rsidRPr="00CA3DB9">
        <w:rPr>
          <w:spacing w:val="-5"/>
          <w:sz w:val="20"/>
          <w:szCs w:val="22"/>
        </w:rPr>
        <w:t>r</w:t>
      </w:r>
      <w:r w:rsidRPr="00CA3DB9">
        <w:rPr>
          <w:spacing w:val="-5"/>
          <w:sz w:val="20"/>
          <w:szCs w:val="22"/>
        </w:rPr>
        <w:t xml:space="preserve">houding bij de werkgever werkzaam is, waaronder in ieder geval wordt begrepen een </w:t>
      </w:r>
      <w:r w:rsidRPr="00CA3DB9">
        <w:rPr>
          <w:sz w:val="20"/>
          <w:szCs w:val="22"/>
        </w:rPr>
        <w:t>uitzen</w:t>
      </w:r>
      <w:r w:rsidRPr="00CA3DB9">
        <w:rPr>
          <w:sz w:val="20"/>
          <w:szCs w:val="22"/>
        </w:rPr>
        <w:t>d</w:t>
      </w:r>
      <w:r w:rsidRPr="00CA3DB9">
        <w:rPr>
          <w:sz w:val="20"/>
          <w:szCs w:val="22"/>
        </w:rPr>
        <w:t>kracht, gedetacheerde of stagiair;</w:t>
      </w:r>
    </w:p>
    <w:p w:rsidR="00715E51" w:rsidRPr="00CA3DB9" w:rsidRDefault="00715E51" w:rsidP="00715E51">
      <w:pPr>
        <w:widowControl w:val="0"/>
        <w:numPr>
          <w:ilvl w:val="0"/>
          <w:numId w:val="4"/>
        </w:numPr>
        <w:tabs>
          <w:tab w:val="clear" w:pos="216"/>
        </w:tabs>
        <w:kinsoku w:val="0"/>
        <w:spacing w:before="36"/>
        <w:ind w:left="567" w:hanging="283"/>
        <w:rPr>
          <w:sz w:val="20"/>
          <w:szCs w:val="22"/>
        </w:rPr>
      </w:pPr>
      <w:r w:rsidRPr="00CA3DB9">
        <w:rPr>
          <w:i/>
          <w:iCs/>
          <w:sz w:val="20"/>
          <w:szCs w:val="22"/>
        </w:rPr>
        <w:t xml:space="preserve">Leerling: </w:t>
      </w:r>
      <w:r w:rsidRPr="00CA3DB9">
        <w:rPr>
          <w:sz w:val="20"/>
          <w:szCs w:val="22"/>
        </w:rPr>
        <w:t>hij/zij die als zodanig is ingeschreven aan een school voor primair onderwijs;</w:t>
      </w:r>
    </w:p>
    <w:p w:rsidR="00715E51" w:rsidRPr="00CA3DB9" w:rsidRDefault="00715E51" w:rsidP="00715E51">
      <w:pPr>
        <w:widowControl w:val="0"/>
        <w:numPr>
          <w:ilvl w:val="0"/>
          <w:numId w:val="4"/>
        </w:numPr>
        <w:tabs>
          <w:tab w:val="clear" w:pos="216"/>
        </w:tabs>
        <w:kinsoku w:val="0"/>
        <w:ind w:left="567" w:hanging="283"/>
        <w:rPr>
          <w:sz w:val="20"/>
          <w:szCs w:val="22"/>
        </w:rPr>
      </w:pPr>
      <w:r w:rsidRPr="00CA3DB9">
        <w:rPr>
          <w:i/>
          <w:iCs/>
          <w:sz w:val="20"/>
          <w:szCs w:val="22"/>
        </w:rPr>
        <w:t xml:space="preserve">Ouder: </w:t>
      </w:r>
      <w:r w:rsidRPr="00CA3DB9">
        <w:rPr>
          <w:sz w:val="20"/>
          <w:szCs w:val="22"/>
        </w:rPr>
        <w:t>de ouder, voogd of verzorger (wettelijk vertegenwoordiger) van de onder d bedoelde leerling;</w:t>
      </w:r>
    </w:p>
    <w:p w:rsidR="00715E51" w:rsidRPr="00CA3DB9" w:rsidRDefault="00715E51" w:rsidP="003F353B">
      <w:pPr>
        <w:widowControl w:val="0"/>
        <w:numPr>
          <w:ilvl w:val="0"/>
          <w:numId w:val="5"/>
        </w:numPr>
        <w:tabs>
          <w:tab w:val="clear" w:pos="144"/>
        </w:tabs>
        <w:kinsoku w:val="0"/>
        <w:ind w:left="567" w:hanging="283"/>
        <w:rPr>
          <w:sz w:val="20"/>
          <w:szCs w:val="22"/>
        </w:rPr>
      </w:pPr>
      <w:r w:rsidRPr="00CA3DB9">
        <w:rPr>
          <w:i/>
          <w:iCs/>
          <w:spacing w:val="-4"/>
          <w:sz w:val="20"/>
          <w:szCs w:val="22"/>
        </w:rPr>
        <w:t xml:space="preserve">Melder: </w:t>
      </w:r>
      <w:r w:rsidRPr="00CA3DB9">
        <w:rPr>
          <w:spacing w:val="-4"/>
          <w:sz w:val="20"/>
          <w:szCs w:val="22"/>
        </w:rPr>
        <w:t>de werknemer of ouder die een vermoeden van een misstand meldt ove</w:t>
      </w:r>
      <w:r w:rsidR="003F353B" w:rsidRPr="00CA3DB9">
        <w:rPr>
          <w:spacing w:val="-4"/>
          <w:sz w:val="20"/>
          <w:szCs w:val="22"/>
        </w:rPr>
        <w:t>r</w:t>
      </w:r>
      <w:r w:rsidRPr="00CA3DB9">
        <w:rPr>
          <w:spacing w:val="-4"/>
          <w:sz w:val="20"/>
          <w:szCs w:val="22"/>
        </w:rPr>
        <w:t xml:space="preserve">eenkomstig </w:t>
      </w:r>
      <w:r w:rsidRPr="00CA3DB9">
        <w:rPr>
          <w:sz w:val="20"/>
          <w:szCs w:val="22"/>
        </w:rPr>
        <w:t>hoof</w:t>
      </w:r>
      <w:r w:rsidRPr="00CA3DB9">
        <w:rPr>
          <w:sz w:val="20"/>
          <w:szCs w:val="22"/>
        </w:rPr>
        <w:t>d</w:t>
      </w:r>
      <w:r w:rsidRPr="00CA3DB9">
        <w:rPr>
          <w:sz w:val="20"/>
          <w:szCs w:val="22"/>
        </w:rPr>
        <w:t>stuk 4;</w:t>
      </w:r>
    </w:p>
    <w:p w:rsidR="00715E51" w:rsidRPr="00CA3DB9" w:rsidRDefault="00715E51" w:rsidP="00715E51">
      <w:pPr>
        <w:widowControl w:val="0"/>
        <w:numPr>
          <w:ilvl w:val="0"/>
          <w:numId w:val="4"/>
        </w:numPr>
        <w:tabs>
          <w:tab w:val="clear" w:pos="216"/>
        </w:tabs>
        <w:kinsoku w:val="0"/>
        <w:ind w:left="567" w:hanging="283"/>
        <w:rPr>
          <w:sz w:val="20"/>
          <w:szCs w:val="22"/>
        </w:rPr>
      </w:pPr>
      <w:r w:rsidRPr="00CA3DB9">
        <w:rPr>
          <w:i/>
          <w:iCs/>
          <w:sz w:val="20"/>
          <w:szCs w:val="22"/>
        </w:rPr>
        <w:t xml:space="preserve">Melding: </w:t>
      </w:r>
      <w:r w:rsidRPr="00CA3DB9">
        <w:rPr>
          <w:sz w:val="20"/>
          <w:szCs w:val="22"/>
        </w:rPr>
        <w:t>de melding van een vermoeden van een misstand door de melder;</w:t>
      </w:r>
    </w:p>
    <w:p w:rsidR="00715E51" w:rsidRPr="00CA3DB9" w:rsidRDefault="003F353B" w:rsidP="003F353B">
      <w:pPr>
        <w:widowControl w:val="0"/>
        <w:numPr>
          <w:ilvl w:val="0"/>
          <w:numId w:val="4"/>
        </w:numPr>
        <w:tabs>
          <w:tab w:val="clear" w:pos="216"/>
        </w:tabs>
        <w:kinsoku w:val="0"/>
        <w:ind w:left="567" w:hanging="283"/>
        <w:rPr>
          <w:sz w:val="20"/>
          <w:szCs w:val="22"/>
        </w:rPr>
      </w:pPr>
      <w:r w:rsidRPr="00CA3DB9">
        <w:rPr>
          <w:i/>
          <w:iCs/>
          <w:sz w:val="20"/>
          <w:szCs w:val="22"/>
        </w:rPr>
        <w:t>V</w:t>
      </w:r>
      <w:r w:rsidR="00715E51" w:rsidRPr="00CA3DB9">
        <w:rPr>
          <w:i/>
          <w:iCs/>
          <w:sz w:val="20"/>
          <w:szCs w:val="22"/>
        </w:rPr>
        <w:t xml:space="preserve">ertrouwenspersoon integriteit (VPI): </w:t>
      </w:r>
      <w:r w:rsidR="00715E51" w:rsidRPr="00CA3DB9">
        <w:rPr>
          <w:sz w:val="20"/>
          <w:szCs w:val="22"/>
        </w:rPr>
        <w:t>de vertrouwenspersoon bedoeld in hoofdstuk 3;</w:t>
      </w:r>
    </w:p>
    <w:p w:rsidR="003F353B" w:rsidRPr="00CA3DB9" w:rsidRDefault="003F353B" w:rsidP="003F353B">
      <w:pPr>
        <w:widowControl w:val="0"/>
        <w:numPr>
          <w:ilvl w:val="0"/>
          <w:numId w:val="5"/>
        </w:numPr>
        <w:tabs>
          <w:tab w:val="clear" w:pos="144"/>
        </w:tabs>
        <w:kinsoku w:val="0"/>
        <w:ind w:left="567" w:hanging="283"/>
        <w:rPr>
          <w:sz w:val="20"/>
          <w:szCs w:val="22"/>
        </w:rPr>
      </w:pPr>
      <w:r w:rsidRPr="00CA3DB9">
        <w:rPr>
          <w:i/>
          <w:iCs/>
          <w:sz w:val="20"/>
          <w:szCs w:val="22"/>
        </w:rPr>
        <w:t>V</w:t>
      </w:r>
      <w:r w:rsidR="00715E51" w:rsidRPr="00CA3DB9">
        <w:rPr>
          <w:i/>
          <w:iCs/>
          <w:sz w:val="20"/>
          <w:szCs w:val="22"/>
        </w:rPr>
        <w:t xml:space="preserve">ermoeden van een misstand: </w:t>
      </w:r>
      <w:r w:rsidR="00715E51" w:rsidRPr="00CA3DB9">
        <w:rPr>
          <w:sz w:val="20"/>
          <w:szCs w:val="22"/>
        </w:rPr>
        <w:t xml:space="preserve">een op redelijke gronden gebaseerd </w:t>
      </w:r>
      <w:r w:rsidRPr="00CA3DB9">
        <w:rPr>
          <w:sz w:val="20"/>
          <w:szCs w:val="22"/>
        </w:rPr>
        <w:t>v</w:t>
      </w:r>
      <w:r w:rsidR="00715E51" w:rsidRPr="00CA3DB9">
        <w:rPr>
          <w:sz w:val="20"/>
          <w:szCs w:val="22"/>
        </w:rPr>
        <w:t>ermoeden van:</w:t>
      </w:r>
    </w:p>
    <w:p w:rsidR="00CA59C3" w:rsidRDefault="00715E51" w:rsidP="003F353B">
      <w:pPr>
        <w:widowControl w:val="0"/>
        <w:kinsoku w:val="0"/>
        <w:ind w:left="709" w:hanging="142"/>
        <w:rPr>
          <w:sz w:val="20"/>
          <w:szCs w:val="22"/>
        </w:rPr>
      </w:pPr>
      <w:r w:rsidRPr="00CA3DB9">
        <w:rPr>
          <w:sz w:val="20"/>
          <w:szCs w:val="22"/>
        </w:rPr>
        <w:t xml:space="preserve">- </w:t>
      </w:r>
      <w:r w:rsidR="00CA59C3">
        <w:rPr>
          <w:sz w:val="20"/>
          <w:szCs w:val="22"/>
        </w:rPr>
        <w:tab/>
      </w:r>
      <w:r w:rsidRPr="00CA3DB9">
        <w:rPr>
          <w:sz w:val="20"/>
          <w:szCs w:val="22"/>
        </w:rPr>
        <w:t xml:space="preserve">een </w:t>
      </w:r>
      <w:r w:rsidR="00CA59C3">
        <w:rPr>
          <w:sz w:val="20"/>
          <w:szCs w:val="22"/>
        </w:rPr>
        <w:t>(dreigend) strafbaar feit</w:t>
      </w:r>
    </w:p>
    <w:p w:rsidR="00715E51" w:rsidRDefault="00CA59C3" w:rsidP="003F353B">
      <w:pPr>
        <w:widowControl w:val="0"/>
        <w:kinsoku w:val="0"/>
        <w:ind w:left="709" w:hanging="142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 xml:space="preserve">een (dreigende) </w:t>
      </w:r>
      <w:r w:rsidR="00715E51" w:rsidRPr="00CA3DB9">
        <w:rPr>
          <w:sz w:val="20"/>
          <w:szCs w:val="22"/>
        </w:rPr>
        <w:t>schending van wettelijke voorschriften of beleid</w:t>
      </w:r>
      <w:r w:rsidR="00715E51" w:rsidRPr="00CA3DB9">
        <w:rPr>
          <w:sz w:val="20"/>
          <w:szCs w:val="22"/>
        </w:rPr>
        <w:t>s</w:t>
      </w:r>
      <w:r w:rsidR="00715E51" w:rsidRPr="00CA3DB9">
        <w:rPr>
          <w:sz w:val="20"/>
          <w:szCs w:val="22"/>
        </w:rPr>
        <w:t>regels,</w:t>
      </w:r>
    </w:p>
    <w:p w:rsidR="00CA59C3" w:rsidRPr="00CA3DB9" w:rsidRDefault="00CA59C3" w:rsidP="003F353B">
      <w:pPr>
        <w:widowControl w:val="0"/>
        <w:kinsoku w:val="0"/>
        <w:ind w:left="709" w:hanging="142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een (dreiging van) bewust onjuist informeren van publieke organen of personen die belast zijn met de uitvoering van of het toezicht op de naleving van wettelijke regelingen,</w:t>
      </w:r>
    </w:p>
    <w:p w:rsidR="00715E51" w:rsidRDefault="00715E51" w:rsidP="003F353B">
      <w:pPr>
        <w:widowControl w:val="0"/>
        <w:kinsoku w:val="0"/>
        <w:ind w:left="709" w:hanging="142"/>
        <w:rPr>
          <w:sz w:val="20"/>
          <w:szCs w:val="22"/>
        </w:rPr>
      </w:pPr>
      <w:r w:rsidRPr="00CA3DB9">
        <w:rPr>
          <w:sz w:val="20"/>
          <w:szCs w:val="22"/>
        </w:rPr>
        <w:t xml:space="preserve">- </w:t>
      </w:r>
      <w:r w:rsidR="00CA59C3">
        <w:rPr>
          <w:sz w:val="20"/>
          <w:szCs w:val="22"/>
        </w:rPr>
        <w:tab/>
      </w:r>
      <w:r w:rsidRPr="00CA3DB9">
        <w:rPr>
          <w:sz w:val="20"/>
          <w:szCs w:val="22"/>
        </w:rPr>
        <w:t>een gevaar voor de gezondheid, de veiligheid of het milieu,</w:t>
      </w:r>
    </w:p>
    <w:p w:rsidR="00CA59C3" w:rsidRPr="00CA3DB9" w:rsidRDefault="00CA59C3" w:rsidP="003F353B">
      <w:pPr>
        <w:widowControl w:val="0"/>
        <w:kinsoku w:val="0"/>
        <w:ind w:left="709" w:hanging="142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een schending van binnen de instelling geldende gedragsregels,</w:t>
      </w:r>
    </w:p>
    <w:p w:rsidR="00CA59C3" w:rsidRDefault="003F353B" w:rsidP="003F353B">
      <w:pPr>
        <w:widowControl w:val="0"/>
        <w:kinsoku w:val="0"/>
        <w:ind w:left="709" w:hanging="142"/>
        <w:rPr>
          <w:sz w:val="20"/>
          <w:szCs w:val="22"/>
        </w:rPr>
      </w:pPr>
      <w:r w:rsidRPr="00CA3DB9">
        <w:rPr>
          <w:sz w:val="20"/>
          <w:szCs w:val="22"/>
        </w:rPr>
        <w:t>-</w:t>
      </w:r>
      <w:r w:rsidRPr="00CA3DB9">
        <w:rPr>
          <w:sz w:val="20"/>
          <w:szCs w:val="22"/>
        </w:rPr>
        <w:tab/>
      </w:r>
      <w:r w:rsidR="00715E51" w:rsidRPr="00CA3DB9">
        <w:rPr>
          <w:sz w:val="20"/>
          <w:szCs w:val="22"/>
        </w:rPr>
        <w:t>een onbehoorlijke wijze van handelen of nalaten bij de onder a bedoelde instelling,</w:t>
      </w:r>
      <w:r w:rsidRPr="00CA3DB9">
        <w:rPr>
          <w:sz w:val="20"/>
          <w:szCs w:val="22"/>
        </w:rPr>
        <w:t xml:space="preserve"> </w:t>
      </w:r>
      <w:r w:rsidR="00715E51" w:rsidRPr="00CA3DB9">
        <w:rPr>
          <w:sz w:val="20"/>
          <w:szCs w:val="22"/>
        </w:rPr>
        <w:t>die het goed functioneren van de instelling en/of het verzorgde onderwijs in het g</w:t>
      </w:r>
      <w:r w:rsidR="00715E51" w:rsidRPr="00CA3DB9">
        <w:rPr>
          <w:sz w:val="20"/>
          <w:szCs w:val="22"/>
        </w:rPr>
        <w:t>e</w:t>
      </w:r>
      <w:r w:rsidR="00715E51" w:rsidRPr="00CA3DB9">
        <w:rPr>
          <w:sz w:val="20"/>
          <w:szCs w:val="22"/>
        </w:rPr>
        <w:t>ding brengt</w:t>
      </w:r>
      <w:r w:rsidR="00CA59C3">
        <w:rPr>
          <w:sz w:val="20"/>
          <w:szCs w:val="22"/>
        </w:rPr>
        <w:t>,</w:t>
      </w:r>
    </w:p>
    <w:p w:rsidR="00715E51" w:rsidRPr="00CA3DB9" w:rsidRDefault="00CA59C3" w:rsidP="003F353B">
      <w:pPr>
        <w:widowControl w:val="0"/>
        <w:kinsoku w:val="0"/>
        <w:ind w:left="709" w:hanging="142"/>
        <w:rPr>
          <w:sz w:val="20"/>
          <w:szCs w:val="22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een (dreiging van) het bewust achterhouden, vernietigen of manipuleren van informatie over feiten onder bovengenoemde misstanden</w:t>
      </w:r>
      <w:r w:rsidR="00715E51" w:rsidRPr="00CA3DB9">
        <w:rPr>
          <w:sz w:val="20"/>
          <w:szCs w:val="22"/>
        </w:rPr>
        <w:t>;</w:t>
      </w:r>
    </w:p>
    <w:p w:rsidR="00715E51" w:rsidRPr="00CA3DB9" w:rsidRDefault="00927851" w:rsidP="00927851">
      <w:pPr>
        <w:ind w:left="567" w:hanging="283"/>
        <w:rPr>
          <w:sz w:val="20"/>
        </w:rPr>
      </w:pPr>
      <w:r w:rsidRPr="00CA3DB9">
        <w:rPr>
          <w:i/>
          <w:iCs/>
          <w:spacing w:val="-1"/>
          <w:sz w:val="20"/>
        </w:rPr>
        <w:t>j.</w:t>
      </w:r>
      <w:r w:rsidRPr="00CA3DB9">
        <w:rPr>
          <w:i/>
          <w:iCs/>
          <w:spacing w:val="-1"/>
          <w:sz w:val="20"/>
        </w:rPr>
        <w:tab/>
      </w:r>
      <w:r w:rsidR="00715E51" w:rsidRPr="00CA3DB9">
        <w:rPr>
          <w:i/>
          <w:iCs/>
          <w:spacing w:val="-1"/>
          <w:sz w:val="20"/>
        </w:rPr>
        <w:t xml:space="preserve">(G)MR: </w:t>
      </w:r>
      <w:r w:rsidR="00715E51" w:rsidRPr="00CA3DB9">
        <w:rPr>
          <w:spacing w:val="-1"/>
          <w:sz w:val="20"/>
        </w:rPr>
        <w:t xml:space="preserve">de (gemeenschappelijke) medezeggenschapsraad bedoeld in de artikelen 3 en 4 van de </w:t>
      </w:r>
      <w:r w:rsidR="00715E51" w:rsidRPr="00CA3DB9">
        <w:rPr>
          <w:sz w:val="20"/>
        </w:rPr>
        <w:t>Wet medezeggenschap op scholen (WMS).</w:t>
      </w:r>
    </w:p>
    <w:p w:rsidR="003F353B" w:rsidRPr="00CA3DB9" w:rsidRDefault="003F353B" w:rsidP="00927851">
      <w:pPr>
        <w:ind w:left="284" w:hanging="284"/>
        <w:rPr>
          <w:sz w:val="20"/>
        </w:rPr>
      </w:pPr>
      <w:r w:rsidRPr="00CA3DB9">
        <w:rPr>
          <w:sz w:val="20"/>
        </w:rPr>
        <w:t>2.</w:t>
      </w:r>
      <w:r w:rsidRPr="00CA3DB9">
        <w:rPr>
          <w:sz w:val="20"/>
        </w:rPr>
        <w:tab/>
      </w:r>
      <w:r w:rsidR="00715E51" w:rsidRPr="00CA3DB9">
        <w:rPr>
          <w:sz w:val="20"/>
        </w:rPr>
        <w:t>Tenzij het tegendeel blijkt, wordt in deze regeling onder werknemer mede begrepen:</w:t>
      </w:r>
      <w:r w:rsidRPr="00CA3DB9">
        <w:rPr>
          <w:sz w:val="20"/>
        </w:rPr>
        <w:t xml:space="preserve"> </w:t>
      </w:r>
    </w:p>
    <w:p w:rsidR="00C50E92" w:rsidRDefault="003F353B" w:rsidP="00927851">
      <w:pPr>
        <w:ind w:left="567" w:hanging="283"/>
        <w:rPr>
          <w:rFonts w:cs="Times New Roman"/>
          <w:sz w:val="20"/>
        </w:rPr>
      </w:pPr>
      <w:r w:rsidRPr="00CA3DB9">
        <w:rPr>
          <w:sz w:val="20"/>
        </w:rPr>
        <w:t>-</w:t>
      </w:r>
      <w:r w:rsidRPr="00CA3DB9">
        <w:rPr>
          <w:sz w:val="20"/>
        </w:rPr>
        <w:tab/>
      </w:r>
      <w:r w:rsidR="00715E51" w:rsidRPr="00CA3DB9">
        <w:rPr>
          <w:rFonts w:cs="Times New Roman"/>
          <w:spacing w:val="-2"/>
          <w:sz w:val="20"/>
        </w:rPr>
        <w:t xml:space="preserve">de voormalige werknemer van wie de dienstbetrekking of andere rechtsverhouding op het tijdstip van </w:t>
      </w:r>
      <w:r w:rsidR="00715E51" w:rsidRPr="00CA3DB9">
        <w:rPr>
          <w:rFonts w:cs="Times New Roman"/>
          <w:sz w:val="20"/>
        </w:rPr>
        <w:t>melden niet langer dan twee jaar geleden formeel is geëindigd</w:t>
      </w:r>
      <w:r w:rsidRPr="00CA3DB9">
        <w:rPr>
          <w:rFonts w:cs="Times New Roman"/>
          <w:sz w:val="20"/>
        </w:rPr>
        <w:t>.</w:t>
      </w:r>
    </w:p>
    <w:p w:rsidR="00CA59C3" w:rsidRPr="00CA3DB9" w:rsidRDefault="00CA59C3" w:rsidP="00927851">
      <w:pPr>
        <w:ind w:left="567" w:hanging="283"/>
        <w:rPr>
          <w:rFonts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C50E92">
        <w:tc>
          <w:tcPr>
            <w:tcW w:w="9212" w:type="dxa"/>
          </w:tcPr>
          <w:p w:rsidR="00C50E92" w:rsidRDefault="003F353B" w:rsidP="003F353B">
            <w:pPr>
              <w:rPr>
                <w:b/>
              </w:rPr>
            </w:pPr>
            <w:r>
              <w:rPr>
                <w:b/>
              </w:rPr>
              <w:t xml:space="preserve">Hoofdstuk 2: Rechtsbescherming melder </w:t>
            </w:r>
          </w:p>
        </w:tc>
      </w:tr>
    </w:tbl>
    <w:p w:rsidR="003F353B" w:rsidRPr="00011E73" w:rsidRDefault="003F353B" w:rsidP="003F353B">
      <w:pPr>
        <w:pStyle w:val="Style2"/>
        <w:kinsoku w:val="0"/>
        <w:autoSpaceDE/>
        <w:autoSpaceDN/>
        <w:adjustRightInd/>
        <w:spacing w:before="252" w:line="208" w:lineRule="auto"/>
        <w:rPr>
          <w:rStyle w:val="CharacterStyle1"/>
          <w:b/>
          <w:bCs/>
          <w:sz w:val="22"/>
          <w:szCs w:val="22"/>
          <w:lang w:val="nl-NL"/>
        </w:rPr>
      </w:pPr>
      <w:r w:rsidRPr="00011E73">
        <w:rPr>
          <w:rStyle w:val="CharacterStyle1"/>
          <w:b/>
          <w:bCs/>
          <w:sz w:val="22"/>
          <w:szCs w:val="22"/>
          <w:lang w:val="nl-NL"/>
        </w:rPr>
        <w:t>Artikel 2</w:t>
      </w:r>
    </w:p>
    <w:p w:rsidR="003F353B" w:rsidRPr="00CA3DB9" w:rsidRDefault="003F353B" w:rsidP="003F353B">
      <w:pPr>
        <w:pStyle w:val="Style2"/>
        <w:kinsoku w:val="0"/>
        <w:autoSpaceDE/>
        <w:autoSpaceDN/>
        <w:adjustRightInd/>
        <w:ind w:left="284" w:right="144" w:hanging="284"/>
        <w:rPr>
          <w:rStyle w:val="CharacterStyle1"/>
          <w:sz w:val="20"/>
          <w:szCs w:val="22"/>
          <w:lang w:val="nl-NL"/>
        </w:rPr>
      </w:pPr>
      <w:r w:rsidRPr="00CA3DB9">
        <w:rPr>
          <w:rStyle w:val="CharacterStyle1"/>
          <w:spacing w:val="-2"/>
          <w:sz w:val="20"/>
          <w:szCs w:val="22"/>
          <w:lang w:val="nl-NL"/>
        </w:rPr>
        <w:t>1a.Ten aanzien van de melder wordt vanwege het te goeder trouw melden van een vermo</w:t>
      </w:r>
      <w:r w:rsidRPr="00CA3DB9">
        <w:rPr>
          <w:rStyle w:val="CharacterStyle1"/>
          <w:spacing w:val="-2"/>
          <w:sz w:val="20"/>
          <w:szCs w:val="22"/>
          <w:lang w:val="nl-NL"/>
        </w:rPr>
        <w:t>e</w:t>
      </w:r>
      <w:r w:rsidRPr="00CA3DB9">
        <w:rPr>
          <w:rStyle w:val="CharacterStyle1"/>
          <w:spacing w:val="-2"/>
          <w:sz w:val="20"/>
          <w:szCs w:val="22"/>
          <w:lang w:val="nl-NL"/>
        </w:rPr>
        <w:t xml:space="preserve">den van </w:t>
      </w:r>
      <w:r w:rsidRPr="00CA3DB9">
        <w:rPr>
          <w:rStyle w:val="CharacterStyle1"/>
          <w:sz w:val="20"/>
          <w:szCs w:val="22"/>
          <w:lang w:val="nl-NL"/>
        </w:rPr>
        <w:t>een misstand geen besluit met nadelige gevolgen voor zijn/haar (rechts)positie genomen.</w:t>
      </w:r>
    </w:p>
    <w:p w:rsidR="003F353B" w:rsidRPr="00CA3DB9" w:rsidRDefault="00500FDD" w:rsidP="00500FDD">
      <w:pPr>
        <w:pStyle w:val="Style2"/>
        <w:kinsoku w:val="0"/>
        <w:autoSpaceDE/>
        <w:autoSpaceDN/>
        <w:adjustRightInd/>
        <w:ind w:left="284" w:hanging="284"/>
        <w:rPr>
          <w:rStyle w:val="CharacterStyle1"/>
          <w:sz w:val="20"/>
          <w:szCs w:val="22"/>
          <w:lang w:val="nl-NL"/>
        </w:rPr>
      </w:pPr>
      <w:r w:rsidRPr="00CA3DB9">
        <w:rPr>
          <w:rStyle w:val="CharacterStyle1"/>
          <w:spacing w:val="-1"/>
          <w:sz w:val="20"/>
          <w:szCs w:val="22"/>
          <w:lang w:val="nl-NL"/>
        </w:rPr>
        <w:t>1b.</w:t>
      </w:r>
      <w:r w:rsidR="003F353B" w:rsidRPr="00CA3DB9">
        <w:rPr>
          <w:rStyle w:val="CharacterStyle1"/>
          <w:spacing w:val="-1"/>
          <w:sz w:val="20"/>
          <w:szCs w:val="22"/>
          <w:lang w:val="nl-NL"/>
        </w:rPr>
        <w:t xml:space="preserve">Het bestuur of, in het geval van </w:t>
      </w:r>
      <w:r w:rsidRPr="00CA3DB9">
        <w:rPr>
          <w:rStyle w:val="CharacterStyle1"/>
          <w:spacing w:val="-1"/>
          <w:sz w:val="20"/>
          <w:szCs w:val="22"/>
          <w:lang w:val="nl-NL"/>
        </w:rPr>
        <w:t>artikel 4, tweede lid, de Raad van T</w:t>
      </w:r>
      <w:r w:rsidR="003F353B" w:rsidRPr="00CA3DB9">
        <w:rPr>
          <w:rStyle w:val="CharacterStyle1"/>
          <w:spacing w:val="-1"/>
          <w:sz w:val="20"/>
          <w:szCs w:val="22"/>
          <w:lang w:val="nl-NL"/>
        </w:rPr>
        <w:t>oezicht zorgt ervoor dat de me</w:t>
      </w:r>
      <w:r w:rsidR="003F353B" w:rsidRPr="00CA3DB9">
        <w:rPr>
          <w:rStyle w:val="CharacterStyle1"/>
          <w:spacing w:val="-1"/>
          <w:sz w:val="20"/>
          <w:szCs w:val="22"/>
          <w:lang w:val="nl-NL"/>
        </w:rPr>
        <w:t>l</w:t>
      </w:r>
      <w:r w:rsidR="003F353B" w:rsidRPr="00CA3DB9">
        <w:rPr>
          <w:rStyle w:val="CharacterStyle1"/>
          <w:spacing w:val="-1"/>
          <w:sz w:val="20"/>
          <w:szCs w:val="22"/>
          <w:lang w:val="nl-NL"/>
        </w:rPr>
        <w:t>der ook niet op andere wijze door de melding bij het uitoefenen van zijn/haar functie nadelige gevo</w:t>
      </w:r>
      <w:r w:rsidR="003F353B" w:rsidRPr="00CA3DB9">
        <w:rPr>
          <w:rStyle w:val="CharacterStyle1"/>
          <w:spacing w:val="-1"/>
          <w:sz w:val="20"/>
          <w:szCs w:val="22"/>
          <w:lang w:val="nl-NL"/>
        </w:rPr>
        <w:t>l</w:t>
      </w:r>
      <w:r w:rsidR="003F353B" w:rsidRPr="00CA3DB9">
        <w:rPr>
          <w:rStyle w:val="CharacterStyle1"/>
          <w:spacing w:val="-1"/>
          <w:sz w:val="20"/>
          <w:szCs w:val="22"/>
          <w:lang w:val="nl-NL"/>
        </w:rPr>
        <w:t xml:space="preserve">gen </w:t>
      </w:r>
      <w:r w:rsidR="003F353B" w:rsidRPr="00CA3DB9">
        <w:rPr>
          <w:rStyle w:val="CharacterStyle1"/>
          <w:sz w:val="20"/>
          <w:szCs w:val="22"/>
          <w:lang w:val="nl-NL"/>
        </w:rPr>
        <w:t>ondervindt.</w:t>
      </w:r>
    </w:p>
    <w:p w:rsidR="003F353B" w:rsidRPr="00CA3DB9" w:rsidRDefault="003F353B" w:rsidP="00500FDD">
      <w:pPr>
        <w:pStyle w:val="Style2"/>
        <w:numPr>
          <w:ilvl w:val="0"/>
          <w:numId w:val="10"/>
        </w:numPr>
        <w:kinsoku w:val="0"/>
        <w:autoSpaceDE/>
        <w:autoSpaceDN/>
        <w:adjustRightInd/>
        <w:ind w:left="284" w:hanging="284"/>
        <w:rPr>
          <w:rStyle w:val="CharacterStyle1"/>
          <w:spacing w:val="2"/>
          <w:sz w:val="20"/>
          <w:szCs w:val="22"/>
          <w:lang w:val="nl-NL"/>
        </w:rPr>
      </w:pPr>
      <w:r w:rsidRPr="00CA3DB9">
        <w:rPr>
          <w:rStyle w:val="CharacterStyle1"/>
          <w:spacing w:val="2"/>
          <w:sz w:val="20"/>
          <w:szCs w:val="22"/>
          <w:lang w:val="nl-NL"/>
        </w:rPr>
        <w:lastRenderedPageBreak/>
        <w:t>Onder besluit als bedoeld in lid 1 wordt in ieder geval verstaan een besluit dat strekt tot:</w:t>
      </w:r>
    </w:p>
    <w:p w:rsidR="003F353B" w:rsidRPr="00CA3DB9" w:rsidRDefault="003F353B" w:rsidP="00500FDD">
      <w:pPr>
        <w:pStyle w:val="Style2"/>
        <w:numPr>
          <w:ilvl w:val="0"/>
          <w:numId w:val="7"/>
        </w:numPr>
        <w:tabs>
          <w:tab w:val="clear" w:pos="216"/>
        </w:tabs>
        <w:kinsoku w:val="0"/>
        <w:autoSpaceDE/>
        <w:autoSpaceDN/>
        <w:adjustRightInd/>
        <w:ind w:left="567" w:hanging="283"/>
        <w:rPr>
          <w:rStyle w:val="CharacterStyle1"/>
          <w:spacing w:val="6"/>
          <w:sz w:val="20"/>
          <w:szCs w:val="22"/>
          <w:lang w:val="nl-NL"/>
        </w:rPr>
      </w:pPr>
      <w:r w:rsidRPr="00CA3DB9">
        <w:rPr>
          <w:rStyle w:val="CharacterStyle1"/>
          <w:spacing w:val="6"/>
          <w:sz w:val="20"/>
          <w:szCs w:val="22"/>
          <w:lang w:val="nl-NL"/>
        </w:rPr>
        <w:t>het treffen van een ordemaatregel;</w:t>
      </w:r>
    </w:p>
    <w:p w:rsidR="003F353B" w:rsidRPr="00CA3DB9" w:rsidRDefault="003F353B" w:rsidP="00500FDD">
      <w:pPr>
        <w:pStyle w:val="Style2"/>
        <w:numPr>
          <w:ilvl w:val="0"/>
          <w:numId w:val="7"/>
        </w:numPr>
        <w:tabs>
          <w:tab w:val="clear" w:pos="216"/>
        </w:tabs>
        <w:kinsoku w:val="0"/>
        <w:autoSpaceDE/>
        <w:autoSpaceDN/>
        <w:adjustRightInd/>
        <w:ind w:left="567" w:hanging="283"/>
        <w:rPr>
          <w:rStyle w:val="CharacterStyle1"/>
          <w:spacing w:val="4"/>
          <w:sz w:val="20"/>
          <w:szCs w:val="22"/>
          <w:lang w:val="nl-NL"/>
        </w:rPr>
      </w:pPr>
      <w:r w:rsidRPr="00CA3DB9">
        <w:rPr>
          <w:rStyle w:val="CharacterStyle1"/>
          <w:spacing w:val="4"/>
          <w:sz w:val="20"/>
          <w:szCs w:val="22"/>
          <w:lang w:val="nl-NL"/>
        </w:rPr>
        <w:t>het treffen van een disciplinaire maatregel;</w:t>
      </w:r>
    </w:p>
    <w:p w:rsidR="003F353B" w:rsidRPr="00CA3DB9" w:rsidRDefault="003F353B" w:rsidP="00500FDD">
      <w:pPr>
        <w:pStyle w:val="Style2"/>
        <w:numPr>
          <w:ilvl w:val="0"/>
          <w:numId w:val="7"/>
        </w:numPr>
        <w:tabs>
          <w:tab w:val="clear" w:pos="216"/>
        </w:tabs>
        <w:kinsoku w:val="0"/>
        <w:autoSpaceDE/>
        <w:autoSpaceDN/>
        <w:adjustRightInd/>
        <w:ind w:left="567" w:hanging="283"/>
        <w:rPr>
          <w:rStyle w:val="CharacterStyle1"/>
          <w:spacing w:val="2"/>
          <w:sz w:val="20"/>
          <w:szCs w:val="22"/>
          <w:lang w:val="nl-NL"/>
        </w:rPr>
      </w:pPr>
      <w:r w:rsidRPr="00CA3DB9">
        <w:rPr>
          <w:rStyle w:val="CharacterStyle1"/>
          <w:spacing w:val="2"/>
          <w:sz w:val="20"/>
          <w:szCs w:val="22"/>
          <w:lang w:val="nl-NL"/>
        </w:rPr>
        <w:t>het tussentijds beëindigen of niet verlengen van een tijdelijk(e) aanstel</w:t>
      </w:r>
      <w:r w:rsidR="00500FDD" w:rsidRPr="00CA3DB9">
        <w:rPr>
          <w:rStyle w:val="CharacterStyle1"/>
          <w:spacing w:val="2"/>
          <w:sz w:val="20"/>
          <w:szCs w:val="22"/>
          <w:lang w:val="nl-NL"/>
        </w:rPr>
        <w:t>l</w:t>
      </w:r>
      <w:r w:rsidRPr="00CA3DB9">
        <w:rPr>
          <w:rStyle w:val="CharacterStyle1"/>
          <w:spacing w:val="2"/>
          <w:sz w:val="20"/>
          <w:szCs w:val="22"/>
          <w:lang w:val="nl-NL"/>
        </w:rPr>
        <w:t>ing</w:t>
      </w:r>
      <w:r w:rsidR="00500FDD" w:rsidRPr="00CA3DB9">
        <w:rPr>
          <w:rStyle w:val="CharacterStyle1"/>
          <w:spacing w:val="2"/>
          <w:sz w:val="20"/>
          <w:szCs w:val="22"/>
          <w:lang w:val="nl-NL"/>
        </w:rPr>
        <w:t xml:space="preserve"> </w:t>
      </w:r>
      <w:r w:rsidRPr="00CA3DB9">
        <w:rPr>
          <w:rStyle w:val="CharacterStyle1"/>
          <w:spacing w:val="2"/>
          <w:sz w:val="20"/>
          <w:szCs w:val="22"/>
          <w:lang w:val="nl-NL"/>
        </w:rPr>
        <w:t>/</w:t>
      </w:r>
      <w:r w:rsidR="00500FDD" w:rsidRPr="00CA3DB9">
        <w:rPr>
          <w:rStyle w:val="CharacterStyle1"/>
          <w:spacing w:val="2"/>
          <w:sz w:val="20"/>
          <w:szCs w:val="22"/>
          <w:lang w:val="nl-NL"/>
        </w:rPr>
        <w:t xml:space="preserve"> </w:t>
      </w:r>
      <w:r w:rsidRPr="00CA3DB9">
        <w:rPr>
          <w:rStyle w:val="CharacterStyle1"/>
          <w:spacing w:val="2"/>
          <w:sz w:val="20"/>
          <w:szCs w:val="22"/>
          <w:lang w:val="nl-NL"/>
        </w:rPr>
        <w:t>diens</w:t>
      </w:r>
      <w:r w:rsidRPr="00CA3DB9">
        <w:rPr>
          <w:rStyle w:val="CharacterStyle1"/>
          <w:spacing w:val="2"/>
          <w:sz w:val="20"/>
          <w:szCs w:val="22"/>
          <w:lang w:val="nl-NL"/>
        </w:rPr>
        <w:t>t</w:t>
      </w:r>
      <w:r w:rsidRPr="00CA3DB9">
        <w:rPr>
          <w:rStyle w:val="CharacterStyle1"/>
          <w:spacing w:val="2"/>
          <w:sz w:val="20"/>
          <w:szCs w:val="22"/>
          <w:lang w:val="nl-NL"/>
        </w:rPr>
        <w:t>verband;</w:t>
      </w:r>
    </w:p>
    <w:p w:rsidR="003F353B" w:rsidRPr="00CA3DB9" w:rsidRDefault="003F353B" w:rsidP="00500FDD">
      <w:pPr>
        <w:pStyle w:val="Style2"/>
        <w:numPr>
          <w:ilvl w:val="0"/>
          <w:numId w:val="7"/>
        </w:numPr>
        <w:tabs>
          <w:tab w:val="clear" w:pos="216"/>
        </w:tabs>
        <w:kinsoku w:val="0"/>
        <w:autoSpaceDE/>
        <w:autoSpaceDN/>
        <w:adjustRightInd/>
        <w:ind w:left="567" w:hanging="283"/>
        <w:rPr>
          <w:rStyle w:val="CharacterStyle1"/>
          <w:spacing w:val="2"/>
          <w:sz w:val="20"/>
          <w:szCs w:val="22"/>
          <w:lang w:val="nl-NL"/>
        </w:rPr>
      </w:pPr>
      <w:r w:rsidRPr="00CA3DB9">
        <w:rPr>
          <w:rStyle w:val="CharacterStyle1"/>
          <w:spacing w:val="2"/>
          <w:sz w:val="20"/>
          <w:szCs w:val="22"/>
          <w:lang w:val="nl-NL"/>
        </w:rPr>
        <w:t>het niet omzetten van een tijdelijk(e) aanstelling/dienstverband in één voor onbepaa</w:t>
      </w:r>
      <w:r w:rsidRPr="00CA3DB9">
        <w:rPr>
          <w:rStyle w:val="CharacterStyle1"/>
          <w:spacing w:val="2"/>
          <w:sz w:val="20"/>
          <w:szCs w:val="22"/>
          <w:lang w:val="nl-NL"/>
        </w:rPr>
        <w:t>l</w:t>
      </w:r>
      <w:r w:rsidRPr="00CA3DB9">
        <w:rPr>
          <w:rStyle w:val="CharacterStyle1"/>
          <w:spacing w:val="2"/>
          <w:sz w:val="20"/>
          <w:szCs w:val="22"/>
          <w:lang w:val="nl-NL"/>
        </w:rPr>
        <w:t>de tijd;</w:t>
      </w:r>
    </w:p>
    <w:p w:rsidR="003F353B" w:rsidRPr="00CA3DB9" w:rsidRDefault="003F353B" w:rsidP="00500FDD">
      <w:pPr>
        <w:pStyle w:val="Style2"/>
        <w:numPr>
          <w:ilvl w:val="0"/>
          <w:numId w:val="7"/>
        </w:numPr>
        <w:tabs>
          <w:tab w:val="clear" w:pos="216"/>
        </w:tabs>
        <w:kinsoku w:val="0"/>
        <w:autoSpaceDE/>
        <w:autoSpaceDN/>
        <w:adjustRightInd/>
        <w:ind w:left="567" w:hanging="283"/>
        <w:rPr>
          <w:rStyle w:val="CharacterStyle1"/>
          <w:spacing w:val="2"/>
          <w:sz w:val="20"/>
          <w:szCs w:val="22"/>
          <w:lang w:val="nl-NL"/>
        </w:rPr>
      </w:pPr>
      <w:r w:rsidRPr="00CA3DB9">
        <w:rPr>
          <w:rStyle w:val="CharacterStyle1"/>
          <w:spacing w:val="2"/>
          <w:sz w:val="20"/>
          <w:szCs w:val="22"/>
          <w:lang w:val="nl-NL"/>
        </w:rPr>
        <w:t>het verplaatsen of overplaatsen of het weigeren van een verzoek daartoe;</w:t>
      </w:r>
    </w:p>
    <w:p w:rsidR="003F353B" w:rsidRPr="00CA3DB9" w:rsidRDefault="003F353B" w:rsidP="00500FDD">
      <w:pPr>
        <w:pStyle w:val="Style2"/>
        <w:numPr>
          <w:ilvl w:val="0"/>
          <w:numId w:val="8"/>
        </w:numPr>
        <w:tabs>
          <w:tab w:val="clear" w:pos="144"/>
          <w:tab w:val="num" w:pos="216"/>
        </w:tabs>
        <w:kinsoku w:val="0"/>
        <w:autoSpaceDE/>
        <w:autoSpaceDN/>
        <w:adjustRightInd/>
        <w:ind w:left="567" w:hanging="283"/>
        <w:rPr>
          <w:rStyle w:val="CharacterStyle1"/>
          <w:spacing w:val="3"/>
          <w:sz w:val="20"/>
          <w:szCs w:val="22"/>
          <w:lang w:val="nl-NL"/>
        </w:rPr>
      </w:pPr>
      <w:r w:rsidRPr="00CA3DB9">
        <w:rPr>
          <w:rStyle w:val="CharacterStyle1"/>
          <w:spacing w:val="3"/>
          <w:sz w:val="20"/>
          <w:szCs w:val="22"/>
          <w:lang w:val="nl-NL"/>
        </w:rPr>
        <w:t>het onthouden van (een periodieke) salarisverhoging;</w:t>
      </w:r>
    </w:p>
    <w:p w:rsidR="003F353B" w:rsidRPr="00CA3DB9" w:rsidRDefault="003F353B" w:rsidP="00500FDD">
      <w:pPr>
        <w:pStyle w:val="Style2"/>
        <w:numPr>
          <w:ilvl w:val="0"/>
          <w:numId w:val="7"/>
        </w:numPr>
        <w:tabs>
          <w:tab w:val="clear" w:pos="216"/>
        </w:tabs>
        <w:kinsoku w:val="0"/>
        <w:autoSpaceDE/>
        <w:autoSpaceDN/>
        <w:adjustRightInd/>
        <w:ind w:left="567" w:hanging="283"/>
        <w:rPr>
          <w:rStyle w:val="CharacterStyle1"/>
          <w:spacing w:val="3"/>
          <w:sz w:val="20"/>
          <w:szCs w:val="22"/>
          <w:lang w:val="nl-NL"/>
        </w:rPr>
      </w:pPr>
      <w:r w:rsidRPr="00CA3DB9">
        <w:rPr>
          <w:rStyle w:val="CharacterStyle1"/>
          <w:spacing w:val="3"/>
          <w:sz w:val="20"/>
          <w:szCs w:val="22"/>
          <w:lang w:val="nl-NL"/>
        </w:rPr>
        <w:t>het (direct of indirect) onthouden van promotiekansen;</w:t>
      </w:r>
    </w:p>
    <w:p w:rsidR="003F353B" w:rsidRPr="00CA3DB9" w:rsidRDefault="003F353B" w:rsidP="00500FDD">
      <w:pPr>
        <w:pStyle w:val="Style2"/>
        <w:numPr>
          <w:ilvl w:val="0"/>
          <w:numId w:val="7"/>
        </w:numPr>
        <w:tabs>
          <w:tab w:val="clear" w:pos="216"/>
        </w:tabs>
        <w:kinsoku w:val="0"/>
        <w:autoSpaceDE/>
        <w:autoSpaceDN/>
        <w:adjustRightInd/>
        <w:ind w:left="567" w:hanging="283"/>
        <w:rPr>
          <w:rStyle w:val="CharacterStyle1"/>
          <w:spacing w:val="5"/>
          <w:sz w:val="20"/>
          <w:szCs w:val="22"/>
          <w:lang w:val="nl-NL"/>
        </w:rPr>
      </w:pPr>
      <w:r w:rsidRPr="00CA3DB9">
        <w:rPr>
          <w:rStyle w:val="CharacterStyle1"/>
          <w:spacing w:val="5"/>
          <w:sz w:val="20"/>
          <w:szCs w:val="22"/>
          <w:lang w:val="nl-NL"/>
        </w:rPr>
        <w:t>het afwijzen van een verlofverzoek;</w:t>
      </w:r>
    </w:p>
    <w:p w:rsidR="003F353B" w:rsidRPr="00CA3DB9" w:rsidRDefault="003F353B" w:rsidP="00500FDD">
      <w:pPr>
        <w:pStyle w:val="Style1"/>
        <w:numPr>
          <w:ilvl w:val="0"/>
          <w:numId w:val="9"/>
        </w:numPr>
        <w:tabs>
          <w:tab w:val="clear" w:pos="144"/>
          <w:tab w:val="num" w:pos="216"/>
        </w:tabs>
        <w:kinsoku w:val="0"/>
        <w:autoSpaceDE/>
        <w:autoSpaceDN/>
        <w:adjustRightInd/>
        <w:ind w:left="567" w:hanging="283"/>
        <w:rPr>
          <w:rStyle w:val="CharacterStyle2"/>
          <w:rFonts w:ascii="Arial" w:hAnsi="Arial" w:cs="Arial"/>
          <w:spacing w:val="3"/>
          <w:szCs w:val="22"/>
          <w:lang w:val="nl-NL"/>
        </w:rPr>
      </w:pPr>
      <w:r w:rsidRPr="00CA3DB9">
        <w:rPr>
          <w:rStyle w:val="CharacterStyle2"/>
          <w:rFonts w:ascii="Arial" w:hAnsi="Arial" w:cs="Arial"/>
          <w:spacing w:val="3"/>
          <w:szCs w:val="22"/>
          <w:lang w:val="nl-NL"/>
        </w:rPr>
        <w:t>het verlenen van ontslag anders dan op eigen verzoek.</w:t>
      </w:r>
    </w:p>
    <w:p w:rsidR="00C50E92" w:rsidRDefault="00C50E92" w:rsidP="003F35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500FDD" w:rsidTr="009B1E01">
        <w:tc>
          <w:tcPr>
            <w:tcW w:w="9212" w:type="dxa"/>
          </w:tcPr>
          <w:p w:rsidR="00500FDD" w:rsidRDefault="00500FDD" w:rsidP="00500FDD">
            <w:pPr>
              <w:rPr>
                <w:b/>
              </w:rPr>
            </w:pPr>
            <w:r>
              <w:rPr>
                <w:b/>
              </w:rPr>
              <w:t xml:space="preserve">Hoofdstuk 3: Aanstelling, taak en rechtsbescherming vertrouwenspersoon integriteit </w:t>
            </w:r>
          </w:p>
        </w:tc>
      </w:tr>
    </w:tbl>
    <w:p w:rsidR="00500FDD" w:rsidRPr="00500FDD" w:rsidRDefault="00500FDD" w:rsidP="00500FDD">
      <w:pPr>
        <w:widowControl w:val="0"/>
        <w:kinsoku w:val="0"/>
        <w:spacing w:before="216" w:line="213" w:lineRule="auto"/>
        <w:rPr>
          <w:b/>
          <w:bCs/>
          <w:szCs w:val="22"/>
        </w:rPr>
      </w:pPr>
      <w:r w:rsidRPr="00500FDD">
        <w:rPr>
          <w:b/>
          <w:bCs/>
          <w:szCs w:val="22"/>
        </w:rPr>
        <w:t>Artikel 3</w:t>
      </w:r>
    </w:p>
    <w:p w:rsidR="00500FDD" w:rsidRPr="00CA3DB9" w:rsidRDefault="00500FDD" w:rsidP="00500FDD">
      <w:pPr>
        <w:widowControl w:val="0"/>
        <w:kinsoku w:val="0"/>
        <w:spacing w:before="36"/>
        <w:ind w:left="284" w:hanging="284"/>
        <w:rPr>
          <w:sz w:val="20"/>
          <w:szCs w:val="22"/>
        </w:rPr>
      </w:pPr>
      <w:r w:rsidRPr="00CA3DB9">
        <w:rPr>
          <w:bCs/>
          <w:spacing w:val="-2"/>
          <w:sz w:val="20"/>
          <w:szCs w:val="22"/>
        </w:rPr>
        <w:t>1.</w:t>
      </w:r>
      <w:r w:rsidRPr="00CA3DB9">
        <w:rPr>
          <w:b/>
          <w:bCs/>
          <w:spacing w:val="-2"/>
          <w:sz w:val="20"/>
          <w:szCs w:val="22"/>
        </w:rPr>
        <w:t xml:space="preserve"> </w:t>
      </w:r>
      <w:r w:rsidR="00CA59C3">
        <w:rPr>
          <w:b/>
          <w:bCs/>
          <w:spacing w:val="-2"/>
          <w:sz w:val="20"/>
          <w:szCs w:val="22"/>
        </w:rPr>
        <w:tab/>
      </w:r>
      <w:r w:rsidRPr="00CA3DB9">
        <w:rPr>
          <w:spacing w:val="-2"/>
          <w:sz w:val="20"/>
          <w:szCs w:val="22"/>
        </w:rPr>
        <w:t>Het bestuur zorgt met instemming van de GMR voor de benoeming van twee vertrouwenspersonen</w:t>
      </w:r>
      <w:r w:rsidR="00CA59C3">
        <w:rPr>
          <w:spacing w:val="-2"/>
          <w:sz w:val="20"/>
          <w:szCs w:val="22"/>
        </w:rPr>
        <w:t xml:space="preserve"> </w:t>
      </w:r>
      <w:r w:rsidRPr="00CA3DB9">
        <w:rPr>
          <w:sz w:val="20"/>
          <w:szCs w:val="22"/>
        </w:rPr>
        <w:t>i</w:t>
      </w:r>
      <w:r w:rsidRPr="00CA3DB9">
        <w:rPr>
          <w:sz w:val="20"/>
          <w:szCs w:val="22"/>
        </w:rPr>
        <w:t>n</w:t>
      </w:r>
      <w:r w:rsidRPr="00CA3DB9">
        <w:rPr>
          <w:sz w:val="20"/>
          <w:szCs w:val="22"/>
        </w:rPr>
        <w:t>tegriteit (VPI), één op voordracht van de GMR en één op voordracht van het bestuur.</w:t>
      </w:r>
    </w:p>
    <w:p w:rsidR="00500FDD" w:rsidRPr="00CA3DB9" w:rsidRDefault="00500FDD" w:rsidP="00500FDD">
      <w:pPr>
        <w:widowControl w:val="0"/>
        <w:kinsoku w:val="0"/>
        <w:ind w:left="284" w:hanging="284"/>
        <w:rPr>
          <w:sz w:val="20"/>
          <w:szCs w:val="22"/>
        </w:rPr>
      </w:pPr>
      <w:r w:rsidRPr="00CA3DB9">
        <w:rPr>
          <w:sz w:val="20"/>
          <w:szCs w:val="22"/>
        </w:rPr>
        <w:t xml:space="preserve">2. </w:t>
      </w:r>
      <w:r w:rsidR="00CA59C3">
        <w:rPr>
          <w:sz w:val="20"/>
          <w:szCs w:val="22"/>
        </w:rPr>
        <w:tab/>
      </w:r>
      <w:r w:rsidRPr="00CA3DB9">
        <w:rPr>
          <w:sz w:val="20"/>
          <w:szCs w:val="22"/>
        </w:rPr>
        <w:t>De vertrouwenspersoon heeft tot taak:</w:t>
      </w:r>
    </w:p>
    <w:p w:rsidR="00500FDD" w:rsidRPr="00CA3DB9" w:rsidRDefault="00500FDD" w:rsidP="00500FDD">
      <w:pPr>
        <w:widowControl w:val="0"/>
        <w:numPr>
          <w:ilvl w:val="0"/>
          <w:numId w:val="11"/>
        </w:numPr>
        <w:tabs>
          <w:tab w:val="clear" w:pos="288"/>
        </w:tabs>
        <w:kinsoku w:val="0"/>
        <w:ind w:left="567" w:right="72" w:hanging="283"/>
        <w:rPr>
          <w:sz w:val="20"/>
          <w:szCs w:val="22"/>
        </w:rPr>
      </w:pPr>
      <w:r w:rsidRPr="00CA3DB9">
        <w:rPr>
          <w:spacing w:val="-1"/>
          <w:sz w:val="20"/>
          <w:szCs w:val="22"/>
        </w:rPr>
        <w:t xml:space="preserve">een (potentiële) melder op verzoek te informeren over de procedure en te adviseren over het doen </w:t>
      </w:r>
      <w:r w:rsidRPr="00CA3DB9">
        <w:rPr>
          <w:sz w:val="20"/>
          <w:szCs w:val="22"/>
        </w:rPr>
        <w:t>van een melding;</w:t>
      </w:r>
    </w:p>
    <w:p w:rsidR="00500FDD" w:rsidRPr="00CA3DB9" w:rsidRDefault="00500FDD" w:rsidP="00500FDD">
      <w:pPr>
        <w:widowControl w:val="0"/>
        <w:numPr>
          <w:ilvl w:val="0"/>
          <w:numId w:val="11"/>
        </w:numPr>
        <w:tabs>
          <w:tab w:val="clear" w:pos="288"/>
        </w:tabs>
        <w:kinsoku w:val="0"/>
        <w:ind w:left="567" w:right="144" w:hanging="283"/>
        <w:rPr>
          <w:sz w:val="20"/>
          <w:szCs w:val="22"/>
        </w:rPr>
      </w:pPr>
      <w:r w:rsidRPr="00CA3DB9">
        <w:rPr>
          <w:spacing w:val="-1"/>
          <w:sz w:val="20"/>
          <w:szCs w:val="22"/>
        </w:rPr>
        <w:t xml:space="preserve">een melding op verzoek van de melder op een afgesproken wijze en tijdstip door te geleiden naar </w:t>
      </w:r>
      <w:r w:rsidRPr="00CA3DB9">
        <w:rPr>
          <w:spacing w:val="3"/>
          <w:sz w:val="20"/>
          <w:szCs w:val="22"/>
        </w:rPr>
        <w:t xml:space="preserve">het bestuur dan wel, in het geval van artikel 4, tweede lid, naar de (voorzitter van de) raad van </w:t>
      </w:r>
      <w:r w:rsidRPr="00CA3DB9">
        <w:rPr>
          <w:sz w:val="20"/>
          <w:szCs w:val="22"/>
        </w:rPr>
        <w:t>toezicht;</w:t>
      </w:r>
    </w:p>
    <w:p w:rsidR="00500FDD" w:rsidRPr="00CA3DB9" w:rsidRDefault="00500FDD" w:rsidP="00500FDD">
      <w:pPr>
        <w:widowControl w:val="0"/>
        <w:numPr>
          <w:ilvl w:val="0"/>
          <w:numId w:val="11"/>
        </w:numPr>
        <w:tabs>
          <w:tab w:val="clear" w:pos="288"/>
        </w:tabs>
        <w:kinsoku w:val="0"/>
        <w:ind w:left="567" w:right="216" w:hanging="283"/>
        <w:rPr>
          <w:sz w:val="20"/>
          <w:szCs w:val="22"/>
        </w:rPr>
      </w:pPr>
      <w:r w:rsidRPr="00CA3DB9">
        <w:rPr>
          <w:spacing w:val="-1"/>
          <w:sz w:val="20"/>
          <w:szCs w:val="22"/>
        </w:rPr>
        <w:t>het bestuur dan wel, in het geval van artikel 4, tweede lid, de (voorzitter van de) raad van to</w:t>
      </w:r>
      <w:r w:rsidRPr="00CA3DB9">
        <w:rPr>
          <w:spacing w:val="-1"/>
          <w:sz w:val="20"/>
          <w:szCs w:val="22"/>
        </w:rPr>
        <w:t>e</w:t>
      </w:r>
      <w:r w:rsidRPr="00CA3DB9">
        <w:rPr>
          <w:spacing w:val="-1"/>
          <w:sz w:val="20"/>
          <w:szCs w:val="22"/>
        </w:rPr>
        <w:t xml:space="preserve">zicht </w:t>
      </w:r>
      <w:r w:rsidRPr="00CA3DB9">
        <w:rPr>
          <w:sz w:val="20"/>
          <w:szCs w:val="22"/>
        </w:rPr>
        <w:t>op verzoek over een melding te informeren en/of te adviseren;</w:t>
      </w:r>
    </w:p>
    <w:p w:rsidR="00500FDD" w:rsidRPr="00CA3DB9" w:rsidRDefault="00500FDD" w:rsidP="00500FDD">
      <w:pPr>
        <w:widowControl w:val="0"/>
        <w:numPr>
          <w:ilvl w:val="0"/>
          <w:numId w:val="11"/>
        </w:numPr>
        <w:tabs>
          <w:tab w:val="clear" w:pos="288"/>
        </w:tabs>
        <w:kinsoku w:val="0"/>
        <w:ind w:left="567" w:right="288" w:hanging="283"/>
        <w:rPr>
          <w:sz w:val="20"/>
          <w:szCs w:val="22"/>
        </w:rPr>
      </w:pPr>
      <w:r w:rsidRPr="00CA3DB9">
        <w:rPr>
          <w:spacing w:val="-5"/>
          <w:sz w:val="20"/>
          <w:szCs w:val="22"/>
        </w:rPr>
        <w:t xml:space="preserve">het bestuur en/of de raad van toezicht (gevraagd of ongevraagd) te adviseren over het gevoerde </w:t>
      </w:r>
      <w:r w:rsidRPr="00CA3DB9">
        <w:rPr>
          <w:sz w:val="20"/>
          <w:szCs w:val="22"/>
        </w:rPr>
        <w:t>integriteitbeleid.</w:t>
      </w:r>
    </w:p>
    <w:p w:rsidR="00500FDD" w:rsidRPr="00CA3DB9" w:rsidRDefault="00500FDD" w:rsidP="00500FDD">
      <w:pPr>
        <w:widowControl w:val="0"/>
        <w:numPr>
          <w:ilvl w:val="0"/>
          <w:numId w:val="10"/>
        </w:numPr>
        <w:kinsoku w:val="0"/>
        <w:ind w:left="284" w:hanging="284"/>
        <w:rPr>
          <w:sz w:val="20"/>
          <w:szCs w:val="22"/>
        </w:rPr>
      </w:pPr>
      <w:r w:rsidRPr="00CA3DB9">
        <w:rPr>
          <w:spacing w:val="-5"/>
          <w:sz w:val="20"/>
          <w:szCs w:val="22"/>
        </w:rPr>
        <w:t xml:space="preserve">De vertrouwenspersoon maakt de identiteit van de melder niet bekend zonder zijn/haar </w:t>
      </w:r>
      <w:r w:rsidRPr="00CA3DB9">
        <w:rPr>
          <w:sz w:val="20"/>
          <w:szCs w:val="22"/>
        </w:rPr>
        <w:t>ui</w:t>
      </w:r>
      <w:r w:rsidRPr="00CA3DB9">
        <w:rPr>
          <w:sz w:val="20"/>
          <w:szCs w:val="22"/>
        </w:rPr>
        <w:t>t</w:t>
      </w:r>
      <w:r w:rsidRPr="00CA3DB9">
        <w:rPr>
          <w:sz w:val="20"/>
          <w:szCs w:val="22"/>
        </w:rPr>
        <w:t>drukkelijke toestemming. De vertrouwenspersoon heeft een ve</w:t>
      </w:r>
      <w:r w:rsidRPr="00CA3DB9">
        <w:rPr>
          <w:sz w:val="20"/>
          <w:szCs w:val="22"/>
        </w:rPr>
        <w:t>r</w:t>
      </w:r>
      <w:r w:rsidRPr="00CA3DB9">
        <w:rPr>
          <w:sz w:val="20"/>
          <w:szCs w:val="22"/>
        </w:rPr>
        <w:t>schoningsrecht.</w:t>
      </w:r>
    </w:p>
    <w:p w:rsidR="00500FDD" w:rsidRPr="00CA3DB9" w:rsidRDefault="00500FDD" w:rsidP="00500FDD">
      <w:pPr>
        <w:widowControl w:val="0"/>
        <w:kinsoku w:val="0"/>
        <w:ind w:left="284" w:right="360" w:hanging="284"/>
        <w:rPr>
          <w:sz w:val="20"/>
          <w:szCs w:val="22"/>
        </w:rPr>
      </w:pPr>
      <w:r w:rsidRPr="00CA3DB9">
        <w:rPr>
          <w:spacing w:val="2"/>
          <w:sz w:val="20"/>
          <w:szCs w:val="22"/>
        </w:rPr>
        <w:t xml:space="preserve">4. Het in artikel 2 bepaalde is van overeenkomstige toepassing op de (voormalige) </w:t>
      </w:r>
      <w:r w:rsidRPr="00CA3DB9">
        <w:rPr>
          <w:sz w:val="20"/>
          <w:szCs w:val="22"/>
        </w:rPr>
        <w:t>vertrouwen</w:t>
      </w:r>
      <w:r w:rsidRPr="00CA3DB9">
        <w:rPr>
          <w:sz w:val="20"/>
          <w:szCs w:val="22"/>
        </w:rPr>
        <w:t>s</w:t>
      </w:r>
      <w:r w:rsidRPr="00CA3DB9">
        <w:rPr>
          <w:sz w:val="20"/>
          <w:szCs w:val="22"/>
        </w:rPr>
        <w:t>persoon waar het de uitoefening van zijn/haar taak op basis van deze reg</w:t>
      </w:r>
      <w:r w:rsidRPr="00CA3DB9">
        <w:rPr>
          <w:sz w:val="20"/>
          <w:szCs w:val="22"/>
        </w:rPr>
        <w:t>e</w:t>
      </w:r>
      <w:r w:rsidRPr="00CA3DB9">
        <w:rPr>
          <w:sz w:val="20"/>
          <w:szCs w:val="22"/>
        </w:rPr>
        <w:t>ling betreft.</w:t>
      </w:r>
    </w:p>
    <w:p w:rsidR="00500FDD" w:rsidRDefault="00500FDD" w:rsidP="003F35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927851" w:rsidTr="009B1E01">
        <w:tc>
          <w:tcPr>
            <w:tcW w:w="9212" w:type="dxa"/>
          </w:tcPr>
          <w:p w:rsidR="00927851" w:rsidRDefault="00927851" w:rsidP="00927851">
            <w:pPr>
              <w:rPr>
                <w:b/>
              </w:rPr>
            </w:pPr>
            <w:r>
              <w:rPr>
                <w:b/>
              </w:rPr>
              <w:t xml:space="preserve">Hoofdstuk 4: interne procedure voor het melden van een (vermoede) misstand </w:t>
            </w:r>
          </w:p>
        </w:tc>
      </w:tr>
    </w:tbl>
    <w:p w:rsidR="00927851" w:rsidRPr="00CA3DB9" w:rsidRDefault="00927851" w:rsidP="00927851">
      <w:pPr>
        <w:widowControl w:val="0"/>
        <w:kinsoku w:val="0"/>
        <w:spacing w:before="216" w:line="213" w:lineRule="auto"/>
        <w:rPr>
          <w:b/>
          <w:bCs/>
          <w:szCs w:val="22"/>
        </w:rPr>
      </w:pPr>
      <w:r w:rsidRPr="00CA3DB9">
        <w:rPr>
          <w:b/>
          <w:bCs/>
          <w:szCs w:val="22"/>
        </w:rPr>
        <w:t>Artikel 4</w:t>
      </w:r>
    </w:p>
    <w:p w:rsidR="00927851" w:rsidRPr="00CA3DB9" w:rsidRDefault="00927851" w:rsidP="00927851">
      <w:pPr>
        <w:widowControl w:val="0"/>
        <w:numPr>
          <w:ilvl w:val="0"/>
          <w:numId w:val="12"/>
        </w:numPr>
        <w:tabs>
          <w:tab w:val="clear" w:pos="288"/>
        </w:tabs>
        <w:kinsoku w:val="0"/>
        <w:spacing w:before="36"/>
        <w:ind w:left="284" w:hanging="284"/>
        <w:rPr>
          <w:sz w:val="20"/>
          <w:szCs w:val="22"/>
        </w:rPr>
      </w:pPr>
      <w:r w:rsidRPr="00CA3DB9">
        <w:rPr>
          <w:sz w:val="20"/>
          <w:szCs w:val="22"/>
        </w:rPr>
        <w:t>De melder doet zijn/haar melding bij het bestuur.</w:t>
      </w:r>
    </w:p>
    <w:p w:rsidR="00927851" w:rsidRPr="00CA3DB9" w:rsidRDefault="00927851" w:rsidP="00927851">
      <w:pPr>
        <w:widowControl w:val="0"/>
        <w:numPr>
          <w:ilvl w:val="0"/>
          <w:numId w:val="12"/>
        </w:numPr>
        <w:tabs>
          <w:tab w:val="clear" w:pos="288"/>
        </w:tabs>
        <w:kinsoku w:val="0"/>
        <w:ind w:left="284" w:right="288" w:hanging="284"/>
        <w:rPr>
          <w:sz w:val="20"/>
          <w:szCs w:val="22"/>
        </w:rPr>
      </w:pPr>
      <w:r w:rsidRPr="00CA3DB9">
        <w:rPr>
          <w:spacing w:val="-1"/>
          <w:sz w:val="20"/>
          <w:szCs w:val="22"/>
        </w:rPr>
        <w:t xml:space="preserve">Indien het bestuur bij de melding is betrokken, doet de melder zijn/haar melding bij de (voorzitter </w:t>
      </w:r>
      <w:r w:rsidRPr="00CA3DB9">
        <w:rPr>
          <w:sz w:val="20"/>
          <w:szCs w:val="22"/>
        </w:rPr>
        <w:t>van de) raad van toezicht. In dat geval is dit hoofdstuk van overeenkomstige toepassing.</w:t>
      </w:r>
    </w:p>
    <w:p w:rsidR="00927851" w:rsidRPr="00CA3DB9" w:rsidRDefault="00927851" w:rsidP="00927851">
      <w:pPr>
        <w:widowControl w:val="0"/>
        <w:numPr>
          <w:ilvl w:val="0"/>
          <w:numId w:val="12"/>
        </w:numPr>
        <w:tabs>
          <w:tab w:val="clear" w:pos="288"/>
        </w:tabs>
        <w:kinsoku w:val="0"/>
        <w:ind w:left="284" w:hanging="284"/>
        <w:rPr>
          <w:sz w:val="20"/>
          <w:szCs w:val="22"/>
        </w:rPr>
      </w:pPr>
      <w:r w:rsidRPr="00CA3DB9">
        <w:rPr>
          <w:spacing w:val="-6"/>
          <w:sz w:val="20"/>
          <w:szCs w:val="22"/>
        </w:rPr>
        <w:t xml:space="preserve">De melder kan zijn/haar melding volgens artikel 3, tweede lid onder b, ook via een </w:t>
      </w:r>
      <w:r w:rsidRPr="00CA3DB9">
        <w:rPr>
          <w:sz w:val="20"/>
          <w:szCs w:val="22"/>
        </w:rPr>
        <w:t>vertro</w:t>
      </w:r>
      <w:r w:rsidRPr="00CA3DB9">
        <w:rPr>
          <w:sz w:val="20"/>
          <w:szCs w:val="22"/>
        </w:rPr>
        <w:t>u</w:t>
      </w:r>
      <w:r w:rsidRPr="00CA3DB9">
        <w:rPr>
          <w:sz w:val="20"/>
          <w:szCs w:val="22"/>
        </w:rPr>
        <w:t>wenspersoon bij het bestuur of de (voorzitter van de) raad van toezicht doen.</w:t>
      </w:r>
    </w:p>
    <w:p w:rsidR="00927851" w:rsidRPr="00CA3DB9" w:rsidRDefault="00927851" w:rsidP="00927851">
      <w:pPr>
        <w:widowControl w:val="0"/>
        <w:numPr>
          <w:ilvl w:val="0"/>
          <w:numId w:val="12"/>
        </w:numPr>
        <w:tabs>
          <w:tab w:val="clear" w:pos="288"/>
        </w:tabs>
        <w:kinsoku w:val="0"/>
        <w:ind w:left="284" w:hanging="284"/>
        <w:rPr>
          <w:spacing w:val="3"/>
          <w:sz w:val="20"/>
          <w:szCs w:val="22"/>
        </w:rPr>
      </w:pPr>
      <w:r w:rsidRPr="00CA3DB9">
        <w:rPr>
          <w:spacing w:val="3"/>
          <w:sz w:val="20"/>
          <w:szCs w:val="22"/>
        </w:rPr>
        <w:t>Een anonieme melding wordt niet in behandeling genomen.</w:t>
      </w:r>
    </w:p>
    <w:p w:rsidR="00927851" w:rsidRPr="00CA3DB9" w:rsidRDefault="00927851" w:rsidP="00927851">
      <w:pPr>
        <w:widowControl w:val="0"/>
        <w:numPr>
          <w:ilvl w:val="0"/>
          <w:numId w:val="12"/>
        </w:numPr>
        <w:tabs>
          <w:tab w:val="clear" w:pos="288"/>
        </w:tabs>
        <w:kinsoku w:val="0"/>
        <w:ind w:left="284" w:right="288" w:hanging="284"/>
        <w:rPr>
          <w:sz w:val="20"/>
          <w:szCs w:val="22"/>
        </w:rPr>
      </w:pPr>
      <w:r w:rsidRPr="00CA3DB9">
        <w:rPr>
          <w:spacing w:val="-1"/>
          <w:sz w:val="20"/>
          <w:szCs w:val="22"/>
        </w:rPr>
        <w:t xml:space="preserve">Een melding kan niet in de plaats treden van een wettelijke verplichting tot het doen van aangifte </w:t>
      </w:r>
      <w:r w:rsidRPr="00CA3DB9">
        <w:rPr>
          <w:sz w:val="20"/>
          <w:szCs w:val="22"/>
        </w:rPr>
        <w:t>van strafbare feiten.</w:t>
      </w:r>
    </w:p>
    <w:p w:rsidR="00927851" w:rsidRPr="00927851" w:rsidRDefault="00927851" w:rsidP="00927851">
      <w:pPr>
        <w:widowControl w:val="0"/>
        <w:kinsoku w:val="0"/>
        <w:spacing w:before="252" w:line="213" w:lineRule="auto"/>
        <w:rPr>
          <w:b/>
          <w:bCs/>
          <w:szCs w:val="22"/>
        </w:rPr>
      </w:pPr>
      <w:r w:rsidRPr="00927851">
        <w:rPr>
          <w:b/>
          <w:bCs/>
          <w:szCs w:val="22"/>
        </w:rPr>
        <w:t>Artikel 5</w:t>
      </w:r>
    </w:p>
    <w:p w:rsidR="00927851" w:rsidRPr="00CA3DB9" w:rsidRDefault="00927851" w:rsidP="00927851">
      <w:pPr>
        <w:widowControl w:val="0"/>
        <w:kinsoku w:val="0"/>
        <w:ind w:right="144"/>
        <w:rPr>
          <w:sz w:val="20"/>
          <w:szCs w:val="22"/>
        </w:rPr>
      </w:pPr>
      <w:r w:rsidRPr="00CA3DB9">
        <w:rPr>
          <w:spacing w:val="-2"/>
          <w:sz w:val="20"/>
          <w:szCs w:val="22"/>
        </w:rPr>
        <w:t xml:space="preserve">Indien de werknemer niet meer werkzaam is bij de in artikel 1 onder a bedoelde instelling waarop de </w:t>
      </w:r>
      <w:r w:rsidRPr="00CA3DB9">
        <w:rPr>
          <w:spacing w:val="3"/>
          <w:sz w:val="20"/>
          <w:szCs w:val="22"/>
        </w:rPr>
        <w:t>melding betrekking heeft, doet hij/zij de melding binnen twee jaar na het fo</w:t>
      </w:r>
      <w:r w:rsidRPr="00CA3DB9">
        <w:rPr>
          <w:spacing w:val="3"/>
          <w:sz w:val="20"/>
          <w:szCs w:val="22"/>
        </w:rPr>
        <w:t>r</w:t>
      </w:r>
      <w:r w:rsidRPr="00CA3DB9">
        <w:rPr>
          <w:spacing w:val="3"/>
          <w:sz w:val="20"/>
          <w:szCs w:val="22"/>
        </w:rPr>
        <w:t xml:space="preserve">meel eindigen van </w:t>
      </w:r>
      <w:r w:rsidRPr="00CA3DB9">
        <w:rPr>
          <w:sz w:val="20"/>
          <w:szCs w:val="22"/>
        </w:rPr>
        <w:t>zijn/haar dienstverband of andere rechtsverhouding met die instelling.</w:t>
      </w:r>
    </w:p>
    <w:p w:rsidR="00927851" w:rsidRPr="00927851" w:rsidRDefault="00CA3DB9" w:rsidP="00927851">
      <w:pPr>
        <w:widowControl w:val="0"/>
        <w:kinsoku w:val="0"/>
        <w:spacing w:before="252" w:line="213" w:lineRule="auto"/>
        <w:rPr>
          <w:b/>
          <w:bCs/>
          <w:szCs w:val="22"/>
        </w:rPr>
      </w:pPr>
      <w:r>
        <w:rPr>
          <w:b/>
          <w:bCs/>
          <w:szCs w:val="22"/>
        </w:rPr>
        <w:t>A</w:t>
      </w:r>
      <w:r w:rsidR="00927851" w:rsidRPr="00927851">
        <w:rPr>
          <w:b/>
          <w:bCs/>
          <w:szCs w:val="22"/>
        </w:rPr>
        <w:t>rtikel 6</w:t>
      </w:r>
    </w:p>
    <w:p w:rsidR="00927851" w:rsidRPr="00CA3DB9" w:rsidRDefault="00927851" w:rsidP="00927851">
      <w:pPr>
        <w:widowControl w:val="0"/>
        <w:kinsoku w:val="0"/>
        <w:spacing w:before="36"/>
        <w:ind w:right="144"/>
        <w:rPr>
          <w:sz w:val="20"/>
          <w:szCs w:val="22"/>
        </w:rPr>
      </w:pPr>
      <w:r w:rsidRPr="00CA3DB9">
        <w:rPr>
          <w:spacing w:val="-2"/>
          <w:sz w:val="20"/>
          <w:szCs w:val="22"/>
        </w:rPr>
        <w:t>De personen die betrokken zijn bij de behandeling van een melding gaan, indien en voor z</w:t>
      </w:r>
      <w:r w:rsidRPr="00CA3DB9">
        <w:rPr>
          <w:spacing w:val="-2"/>
          <w:sz w:val="20"/>
          <w:szCs w:val="22"/>
        </w:rPr>
        <w:t>o</w:t>
      </w:r>
      <w:r w:rsidRPr="00CA3DB9">
        <w:rPr>
          <w:spacing w:val="-2"/>
          <w:sz w:val="20"/>
          <w:szCs w:val="22"/>
        </w:rPr>
        <w:t xml:space="preserve">ver deze </w:t>
      </w:r>
      <w:r w:rsidRPr="00CA3DB9">
        <w:rPr>
          <w:sz w:val="20"/>
          <w:szCs w:val="22"/>
        </w:rPr>
        <w:t>bekend is, op behoorlijke en zorgvuldige wijze met de identiteit van de melder om.</w:t>
      </w:r>
    </w:p>
    <w:p w:rsidR="00927851" w:rsidRPr="00927851" w:rsidRDefault="00927851" w:rsidP="00927851">
      <w:pPr>
        <w:widowControl w:val="0"/>
        <w:kinsoku w:val="0"/>
        <w:spacing w:before="216" w:line="213" w:lineRule="auto"/>
        <w:rPr>
          <w:b/>
          <w:bCs/>
          <w:szCs w:val="22"/>
        </w:rPr>
      </w:pPr>
      <w:r w:rsidRPr="00927851">
        <w:rPr>
          <w:b/>
          <w:bCs/>
          <w:szCs w:val="22"/>
        </w:rPr>
        <w:t>Artikel 7</w:t>
      </w:r>
    </w:p>
    <w:p w:rsidR="00927851" w:rsidRPr="00CA3DB9" w:rsidRDefault="00927851" w:rsidP="00927851">
      <w:pPr>
        <w:widowControl w:val="0"/>
        <w:numPr>
          <w:ilvl w:val="0"/>
          <w:numId w:val="14"/>
        </w:numPr>
        <w:kinsoku w:val="0"/>
        <w:spacing w:before="36" w:line="213" w:lineRule="auto"/>
        <w:ind w:left="284" w:hanging="284"/>
        <w:rPr>
          <w:sz w:val="20"/>
          <w:szCs w:val="22"/>
        </w:rPr>
      </w:pPr>
      <w:r w:rsidRPr="00CA3DB9">
        <w:rPr>
          <w:sz w:val="20"/>
          <w:szCs w:val="22"/>
        </w:rPr>
        <w:t>Het bestuur:</w:t>
      </w:r>
    </w:p>
    <w:p w:rsidR="00927851" w:rsidRPr="00CA3DB9" w:rsidRDefault="00927851" w:rsidP="00927851">
      <w:pPr>
        <w:widowControl w:val="0"/>
        <w:numPr>
          <w:ilvl w:val="0"/>
          <w:numId w:val="13"/>
        </w:numPr>
        <w:tabs>
          <w:tab w:val="clear" w:pos="216"/>
        </w:tabs>
        <w:kinsoku w:val="0"/>
        <w:ind w:left="567" w:right="576" w:hanging="283"/>
        <w:rPr>
          <w:sz w:val="20"/>
          <w:szCs w:val="22"/>
        </w:rPr>
      </w:pPr>
      <w:r w:rsidRPr="00CA3DB9">
        <w:rPr>
          <w:spacing w:val="-3"/>
          <w:sz w:val="20"/>
          <w:szCs w:val="22"/>
        </w:rPr>
        <w:t xml:space="preserve">bevestigt zo spoedig mogelijk, maar uiterlijk twee weken na ontvangst daarvan, schriftelijk de </w:t>
      </w:r>
      <w:r w:rsidRPr="00CA3DB9">
        <w:rPr>
          <w:sz w:val="20"/>
          <w:szCs w:val="22"/>
        </w:rPr>
        <w:t>melding aan de melder of de vertrouwenspersoon;</w:t>
      </w:r>
    </w:p>
    <w:p w:rsidR="00927851" w:rsidRPr="00CA3DB9" w:rsidRDefault="00927851" w:rsidP="00927851">
      <w:pPr>
        <w:widowControl w:val="0"/>
        <w:numPr>
          <w:ilvl w:val="0"/>
          <w:numId w:val="13"/>
        </w:numPr>
        <w:tabs>
          <w:tab w:val="clear" w:pos="216"/>
        </w:tabs>
        <w:kinsoku w:val="0"/>
        <w:ind w:left="567" w:right="144" w:hanging="283"/>
        <w:rPr>
          <w:sz w:val="20"/>
          <w:szCs w:val="22"/>
        </w:rPr>
      </w:pPr>
      <w:r w:rsidRPr="00CA3DB9">
        <w:rPr>
          <w:spacing w:val="-4"/>
          <w:sz w:val="20"/>
          <w:szCs w:val="22"/>
        </w:rPr>
        <w:t xml:space="preserve">informeert de persoon/personen op wie het vermoeden van een misstand betrekking heeft over de </w:t>
      </w:r>
      <w:r w:rsidRPr="00CA3DB9">
        <w:rPr>
          <w:spacing w:val="-1"/>
          <w:sz w:val="20"/>
          <w:szCs w:val="22"/>
        </w:rPr>
        <w:lastRenderedPageBreak/>
        <w:t>ontvangst van de melding, tenzij daardoor een onderzoeksbelang kan worden geschaad of a</w:t>
      </w:r>
      <w:r w:rsidRPr="00CA3DB9">
        <w:rPr>
          <w:spacing w:val="-1"/>
          <w:sz w:val="20"/>
          <w:szCs w:val="22"/>
        </w:rPr>
        <w:t>r</w:t>
      </w:r>
      <w:r w:rsidRPr="00CA3DB9">
        <w:rPr>
          <w:spacing w:val="-1"/>
          <w:sz w:val="20"/>
          <w:szCs w:val="22"/>
        </w:rPr>
        <w:t xml:space="preserve">tikel 8, </w:t>
      </w:r>
      <w:r w:rsidRPr="00CA3DB9">
        <w:rPr>
          <w:sz w:val="20"/>
          <w:szCs w:val="22"/>
        </w:rPr>
        <w:t>vierde lid, wordt toegepast;</w:t>
      </w:r>
    </w:p>
    <w:p w:rsidR="00927851" w:rsidRPr="00CA3DB9" w:rsidRDefault="00927851" w:rsidP="00927851">
      <w:pPr>
        <w:widowControl w:val="0"/>
        <w:numPr>
          <w:ilvl w:val="0"/>
          <w:numId w:val="13"/>
        </w:numPr>
        <w:tabs>
          <w:tab w:val="clear" w:pos="216"/>
        </w:tabs>
        <w:kinsoku w:val="0"/>
        <w:ind w:left="567" w:right="576" w:hanging="283"/>
        <w:rPr>
          <w:sz w:val="20"/>
          <w:szCs w:val="22"/>
        </w:rPr>
      </w:pPr>
      <w:r w:rsidRPr="00CA3DB9">
        <w:rPr>
          <w:spacing w:val="-3"/>
          <w:sz w:val="20"/>
          <w:szCs w:val="22"/>
        </w:rPr>
        <w:t>zorgt ingeval van het kennis dragen van de identiteit van de melder ervoor dat die niet ve</w:t>
      </w:r>
      <w:r w:rsidRPr="00CA3DB9">
        <w:rPr>
          <w:spacing w:val="-3"/>
          <w:sz w:val="20"/>
          <w:szCs w:val="22"/>
        </w:rPr>
        <w:t>r</w:t>
      </w:r>
      <w:r w:rsidRPr="00CA3DB9">
        <w:rPr>
          <w:spacing w:val="-3"/>
          <w:sz w:val="20"/>
          <w:szCs w:val="22"/>
        </w:rPr>
        <w:t xml:space="preserve">der </w:t>
      </w:r>
      <w:r w:rsidRPr="00CA3DB9">
        <w:rPr>
          <w:sz w:val="20"/>
          <w:szCs w:val="22"/>
        </w:rPr>
        <w:t>bekend wordt dan noodzakelijk is voor het onderzoek en de behandeling van de me</w:t>
      </w:r>
      <w:r w:rsidRPr="00CA3DB9">
        <w:rPr>
          <w:sz w:val="20"/>
          <w:szCs w:val="22"/>
        </w:rPr>
        <w:t>l</w:t>
      </w:r>
      <w:r w:rsidRPr="00CA3DB9">
        <w:rPr>
          <w:sz w:val="20"/>
          <w:szCs w:val="22"/>
        </w:rPr>
        <w:t>ding.</w:t>
      </w:r>
    </w:p>
    <w:p w:rsidR="00927851" w:rsidRDefault="00927851" w:rsidP="00927851">
      <w:pPr>
        <w:widowControl w:val="0"/>
        <w:numPr>
          <w:ilvl w:val="0"/>
          <w:numId w:val="14"/>
        </w:numPr>
        <w:kinsoku w:val="0"/>
        <w:ind w:left="284" w:right="288" w:hanging="284"/>
        <w:rPr>
          <w:sz w:val="20"/>
          <w:szCs w:val="22"/>
        </w:rPr>
      </w:pPr>
      <w:r w:rsidRPr="00CA3DB9">
        <w:rPr>
          <w:spacing w:val="-1"/>
          <w:sz w:val="20"/>
          <w:szCs w:val="22"/>
        </w:rPr>
        <w:t>Indien het bestuur de ontvangst van de melding aan de vertrouwenspersoon heeft b</w:t>
      </w:r>
      <w:r w:rsidRPr="00CA3DB9">
        <w:rPr>
          <w:spacing w:val="-1"/>
          <w:sz w:val="20"/>
          <w:szCs w:val="22"/>
        </w:rPr>
        <w:t>e</w:t>
      </w:r>
      <w:r w:rsidRPr="00CA3DB9">
        <w:rPr>
          <w:spacing w:val="-1"/>
          <w:sz w:val="20"/>
          <w:szCs w:val="22"/>
        </w:rPr>
        <w:t xml:space="preserve">richt, stuurt </w:t>
      </w:r>
      <w:r w:rsidRPr="00CA3DB9">
        <w:rPr>
          <w:sz w:val="20"/>
          <w:szCs w:val="22"/>
        </w:rPr>
        <w:t>deze de ontvangstbevestiging door aan de melder.</w:t>
      </w:r>
    </w:p>
    <w:p w:rsidR="00927851" w:rsidRPr="005E12AE" w:rsidRDefault="00927851" w:rsidP="005E12AE">
      <w:pPr>
        <w:widowControl w:val="0"/>
        <w:numPr>
          <w:ilvl w:val="0"/>
          <w:numId w:val="14"/>
        </w:numPr>
        <w:kinsoku w:val="0"/>
        <w:ind w:left="284" w:right="648" w:hanging="284"/>
        <w:rPr>
          <w:sz w:val="20"/>
          <w:szCs w:val="22"/>
        </w:rPr>
      </w:pPr>
      <w:r w:rsidRPr="00CA3DB9">
        <w:rPr>
          <w:spacing w:val="-5"/>
          <w:sz w:val="20"/>
          <w:szCs w:val="22"/>
        </w:rPr>
        <w:t>Het bestuur informeert tevens de (voorzitter van de) raad van toezicht over de me</w:t>
      </w:r>
      <w:r w:rsidRPr="00CA3DB9">
        <w:rPr>
          <w:spacing w:val="-5"/>
          <w:sz w:val="20"/>
          <w:szCs w:val="22"/>
        </w:rPr>
        <w:t>l</w:t>
      </w:r>
      <w:r w:rsidRPr="00CA3DB9">
        <w:rPr>
          <w:spacing w:val="-5"/>
          <w:sz w:val="20"/>
          <w:szCs w:val="22"/>
        </w:rPr>
        <w:t xml:space="preserve">ding en de </w:t>
      </w:r>
      <w:r w:rsidRPr="005E12AE">
        <w:rPr>
          <w:sz w:val="20"/>
          <w:szCs w:val="22"/>
        </w:rPr>
        <w:t>(voorgenomen) wijze van afhandelen daarvan.</w:t>
      </w:r>
    </w:p>
    <w:p w:rsidR="00927851" w:rsidRPr="00927851" w:rsidRDefault="00927851" w:rsidP="00927851">
      <w:pPr>
        <w:widowControl w:val="0"/>
        <w:kinsoku w:val="0"/>
        <w:spacing w:before="360" w:line="199" w:lineRule="auto"/>
        <w:rPr>
          <w:b/>
          <w:bCs/>
          <w:szCs w:val="22"/>
        </w:rPr>
      </w:pPr>
      <w:r w:rsidRPr="00927851">
        <w:rPr>
          <w:b/>
          <w:bCs/>
          <w:szCs w:val="22"/>
        </w:rPr>
        <w:t>Artikel 8</w:t>
      </w:r>
    </w:p>
    <w:p w:rsidR="00927851" w:rsidRPr="00FE7E9C" w:rsidRDefault="00927851" w:rsidP="00927851">
      <w:pPr>
        <w:widowControl w:val="0"/>
        <w:kinsoku w:val="0"/>
        <w:ind w:left="284" w:hanging="284"/>
        <w:rPr>
          <w:sz w:val="20"/>
          <w:szCs w:val="22"/>
        </w:rPr>
      </w:pPr>
      <w:r>
        <w:rPr>
          <w:szCs w:val="22"/>
        </w:rPr>
        <w:t>1.</w:t>
      </w:r>
      <w:r>
        <w:rPr>
          <w:szCs w:val="22"/>
        </w:rPr>
        <w:tab/>
      </w:r>
      <w:r w:rsidRPr="00FE7E9C">
        <w:rPr>
          <w:sz w:val="20"/>
          <w:szCs w:val="22"/>
        </w:rPr>
        <w:t>Het bestuur stelt zo spoedig mogelijk een onderzoek in naar de melding.</w:t>
      </w:r>
    </w:p>
    <w:p w:rsidR="00927851" w:rsidRPr="00FE7E9C" w:rsidRDefault="00927851" w:rsidP="00927851">
      <w:pPr>
        <w:widowControl w:val="0"/>
        <w:kinsoku w:val="0"/>
        <w:ind w:left="284" w:right="504" w:hanging="284"/>
        <w:rPr>
          <w:sz w:val="20"/>
          <w:szCs w:val="22"/>
        </w:rPr>
      </w:pPr>
      <w:r w:rsidRPr="00FE7E9C">
        <w:rPr>
          <w:spacing w:val="-3"/>
          <w:sz w:val="20"/>
          <w:szCs w:val="22"/>
        </w:rPr>
        <w:t>2.</w:t>
      </w:r>
      <w:r w:rsidRPr="00FE7E9C">
        <w:rPr>
          <w:spacing w:val="-3"/>
          <w:sz w:val="20"/>
          <w:szCs w:val="22"/>
        </w:rPr>
        <w:tab/>
        <w:t xml:space="preserve">Het onderzoek wordt niet verricht door een persoon die mogelijk betrokken is (geweest) bij de </w:t>
      </w:r>
      <w:r w:rsidRPr="00FE7E9C">
        <w:rPr>
          <w:sz w:val="20"/>
          <w:szCs w:val="22"/>
        </w:rPr>
        <w:t>vermoede misstand of daar anderszins belang bij heeft.</w:t>
      </w:r>
    </w:p>
    <w:p w:rsidR="00927851" w:rsidRPr="00FE7E9C" w:rsidRDefault="00927851" w:rsidP="00927851">
      <w:pPr>
        <w:widowControl w:val="0"/>
        <w:kinsoku w:val="0"/>
        <w:spacing w:before="36"/>
        <w:ind w:left="284" w:right="936" w:hanging="284"/>
        <w:rPr>
          <w:sz w:val="20"/>
          <w:szCs w:val="22"/>
        </w:rPr>
      </w:pPr>
      <w:r w:rsidRPr="00FE7E9C">
        <w:rPr>
          <w:spacing w:val="-4"/>
          <w:sz w:val="20"/>
          <w:szCs w:val="22"/>
        </w:rPr>
        <w:t>3.</w:t>
      </w:r>
      <w:r w:rsidRPr="00FE7E9C">
        <w:rPr>
          <w:spacing w:val="-4"/>
          <w:sz w:val="20"/>
          <w:szCs w:val="22"/>
        </w:rPr>
        <w:tab/>
        <w:t xml:space="preserve">Het bestuur kan het onderzoek en de verdere behandeling van de melding in ieder geval </w:t>
      </w:r>
      <w:r w:rsidRPr="00FE7E9C">
        <w:rPr>
          <w:sz w:val="20"/>
          <w:szCs w:val="22"/>
        </w:rPr>
        <w:t>achterwege laten als:</w:t>
      </w:r>
    </w:p>
    <w:p w:rsidR="00927851" w:rsidRPr="00FE7E9C" w:rsidRDefault="00927851" w:rsidP="00927851">
      <w:pPr>
        <w:widowControl w:val="0"/>
        <w:numPr>
          <w:ilvl w:val="0"/>
          <w:numId w:val="15"/>
        </w:numPr>
        <w:tabs>
          <w:tab w:val="clear" w:pos="216"/>
        </w:tabs>
        <w:kinsoku w:val="0"/>
        <w:ind w:left="567" w:hanging="283"/>
        <w:rPr>
          <w:spacing w:val="1"/>
          <w:sz w:val="20"/>
          <w:szCs w:val="22"/>
        </w:rPr>
      </w:pPr>
      <w:r w:rsidRPr="00FE7E9C">
        <w:rPr>
          <w:spacing w:val="1"/>
          <w:sz w:val="20"/>
          <w:szCs w:val="22"/>
        </w:rPr>
        <w:t xml:space="preserve">geen sprake is van een vermoeden van een misstand als bedoeld in artikel 1, </w:t>
      </w:r>
      <w:r w:rsidR="005E12AE">
        <w:rPr>
          <w:spacing w:val="1"/>
          <w:sz w:val="20"/>
          <w:szCs w:val="22"/>
        </w:rPr>
        <w:t>1</w:t>
      </w:r>
      <w:r w:rsidR="005E12AE" w:rsidRPr="005E12AE">
        <w:rPr>
          <w:spacing w:val="1"/>
          <w:sz w:val="20"/>
          <w:szCs w:val="22"/>
          <w:vertAlign w:val="superscript"/>
        </w:rPr>
        <w:t>e</w:t>
      </w:r>
      <w:r w:rsidR="005E12AE">
        <w:rPr>
          <w:spacing w:val="1"/>
          <w:sz w:val="20"/>
          <w:szCs w:val="22"/>
        </w:rPr>
        <w:t xml:space="preserve"> </w:t>
      </w:r>
      <w:r w:rsidRPr="00FE7E9C">
        <w:rPr>
          <w:spacing w:val="1"/>
          <w:sz w:val="20"/>
          <w:szCs w:val="22"/>
        </w:rPr>
        <w:t>lid o</w:t>
      </w:r>
      <w:r w:rsidRPr="00FE7E9C">
        <w:rPr>
          <w:spacing w:val="1"/>
          <w:sz w:val="20"/>
          <w:szCs w:val="22"/>
        </w:rPr>
        <w:t>n</w:t>
      </w:r>
      <w:r w:rsidRPr="00FE7E9C">
        <w:rPr>
          <w:spacing w:val="1"/>
          <w:sz w:val="20"/>
          <w:szCs w:val="22"/>
        </w:rPr>
        <w:t>der i;</w:t>
      </w:r>
    </w:p>
    <w:p w:rsidR="00927851" w:rsidRPr="00FE7E9C" w:rsidRDefault="00927851" w:rsidP="00927851">
      <w:pPr>
        <w:widowControl w:val="0"/>
        <w:numPr>
          <w:ilvl w:val="0"/>
          <w:numId w:val="15"/>
        </w:numPr>
        <w:tabs>
          <w:tab w:val="clear" w:pos="216"/>
        </w:tabs>
        <w:kinsoku w:val="0"/>
        <w:ind w:left="567" w:right="144" w:hanging="283"/>
        <w:rPr>
          <w:sz w:val="20"/>
          <w:szCs w:val="22"/>
        </w:rPr>
      </w:pPr>
      <w:r w:rsidRPr="00FE7E9C">
        <w:rPr>
          <w:spacing w:val="-2"/>
          <w:sz w:val="20"/>
          <w:szCs w:val="22"/>
        </w:rPr>
        <w:t xml:space="preserve">de melding niet is gedaan binnen de in de artikelen 1, </w:t>
      </w:r>
      <w:r w:rsidR="005E12AE">
        <w:rPr>
          <w:spacing w:val="-2"/>
          <w:sz w:val="20"/>
          <w:szCs w:val="22"/>
        </w:rPr>
        <w:t>2</w:t>
      </w:r>
      <w:r w:rsidR="005E12AE" w:rsidRPr="005E12AE">
        <w:rPr>
          <w:spacing w:val="-2"/>
          <w:sz w:val="20"/>
          <w:szCs w:val="22"/>
          <w:vertAlign w:val="superscript"/>
        </w:rPr>
        <w:t>e</w:t>
      </w:r>
      <w:r w:rsidR="005E12AE">
        <w:rPr>
          <w:spacing w:val="-2"/>
          <w:sz w:val="20"/>
          <w:szCs w:val="22"/>
        </w:rPr>
        <w:t xml:space="preserve"> </w:t>
      </w:r>
      <w:r w:rsidRPr="00FE7E9C">
        <w:rPr>
          <w:spacing w:val="-2"/>
          <w:sz w:val="20"/>
          <w:szCs w:val="22"/>
        </w:rPr>
        <w:t xml:space="preserve">lid, en 5 genoemde termijn van twee </w:t>
      </w:r>
      <w:r w:rsidRPr="00FE7E9C">
        <w:rPr>
          <w:sz w:val="20"/>
          <w:szCs w:val="22"/>
        </w:rPr>
        <w:t>jaar;</w:t>
      </w:r>
    </w:p>
    <w:p w:rsidR="00927851" w:rsidRPr="00FE7E9C" w:rsidRDefault="00927851" w:rsidP="00927851">
      <w:pPr>
        <w:widowControl w:val="0"/>
        <w:numPr>
          <w:ilvl w:val="0"/>
          <w:numId w:val="15"/>
        </w:numPr>
        <w:tabs>
          <w:tab w:val="clear" w:pos="216"/>
        </w:tabs>
        <w:kinsoku w:val="0"/>
        <w:ind w:left="567" w:hanging="283"/>
        <w:rPr>
          <w:spacing w:val="3"/>
          <w:sz w:val="20"/>
          <w:szCs w:val="22"/>
        </w:rPr>
      </w:pPr>
      <w:r w:rsidRPr="00FE7E9C">
        <w:rPr>
          <w:spacing w:val="3"/>
          <w:sz w:val="20"/>
          <w:szCs w:val="22"/>
        </w:rPr>
        <w:t>de melding kennelijk onredelijk laat is gedaan.</w:t>
      </w:r>
    </w:p>
    <w:p w:rsidR="00927851" w:rsidRPr="00FE7E9C" w:rsidRDefault="00CA3DB9" w:rsidP="00927851">
      <w:pPr>
        <w:widowControl w:val="0"/>
        <w:kinsoku w:val="0"/>
        <w:ind w:left="284" w:hanging="284"/>
        <w:rPr>
          <w:sz w:val="20"/>
          <w:szCs w:val="22"/>
        </w:rPr>
      </w:pPr>
      <w:r w:rsidRPr="00FE7E9C">
        <w:rPr>
          <w:spacing w:val="-2"/>
          <w:sz w:val="20"/>
          <w:szCs w:val="22"/>
        </w:rPr>
        <w:t>4.</w:t>
      </w:r>
      <w:r w:rsidRPr="00FE7E9C">
        <w:rPr>
          <w:spacing w:val="-2"/>
          <w:sz w:val="20"/>
          <w:szCs w:val="22"/>
        </w:rPr>
        <w:tab/>
      </w:r>
      <w:r w:rsidR="00927851" w:rsidRPr="00FE7E9C">
        <w:rPr>
          <w:spacing w:val="-2"/>
          <w:sz w:val="20"/>
          <w:szCs w:val="22"/>
        </w:rPr>
        <w:t xml:space="preserve">Het bestuur bericht het achterwege laten van een onderzoek en verdere behandeling van de </w:t>
      </w:r>
      <w:r w:rsidR="00927851" w:rsidRPr="00FE7E9C">
        <w:rPr>
          <w:sz w:val="20"/>
          <w:szCs w:val="22"/>
        </w:rPr>
        <w:t>melding met vermelding van redenen zo spoedig mogelijk, maar uiterlijk twee weken na de ontvangstbeve</w:t>
      </w:r>
      <w:r w:rsidR="00927851" w:rsidRPr="00FE7E9C">
        <w:rPr>
          <w:sz w:val="20"/>
          <w:szCs w:val="22"/>
        </w:rPr>
        <w:t>s</w:t>
      </w:r>
      <w:r w:rsidR="00927851" w:rsidRPr="00FE7E9C">
        <w:rPr>
          <w:sz w:val="20"/>
          <w:szCs w:val="22"/>
        </w:rPr>
        <w:t>tiging, schriftelijk aan de melder of de vertrouwenspe</w:t>
      </w:r>
      <w:r w:rsidR="00927851" w:rsidRPr="00FE7E9C">
        <w:rPr>
          <w:sz w:val="20"/>
          <w:szCs w:val="22"/>
        </w:rPr>
        <w:t>r</w:t>
      </w:r>
      <w:r w:rsidR="00927851" w:rsidRPr="00FE7E9C">
        <w:rPr>
          <w:sz w:val="20"/>
          <w:szCs w:val="22"/>
        </w:rPr>
        <w:t>soon.</w:t>
      </w:r>
    </w:p>
    <w:p w:rsidR="00927851" w:rsidRPr="00FE7E9C" w:rsidRDefault="00CA3DB9" w:rsidP="00927851">
      <w:pPr>
        <w:widowControl w:val="0"/>
        <w:kinsoku w:val="0"/>
        <w:ind w:left="284" w:hanging="284"/>
        <w:rPr>
          <w:sz w:val="20"/>
          <w:szCs w:val="22"/>
        </w:rPr>
      </w:pPr>
      <w:r w:rsidRPr="00FE7E9C">
        <w:rPr>
          <w:sz w:val="20"/>
          <w:szCs w:val="22"/>
        </w:rPr>
        <w:t>5.</w:t>
      </w:r>
      <w:r w:rsidRPr="00FE7E9C">
        <w:rPr>
          <w:sz w:val="20"/>
          <w:szCs w:val="22"/>
        </w:rPr>
        <w:tab/>
      </w:r>
      <w:r w:rsidR="00927851" w:rsidRPr="00FE7E9C">
        <w:rPr>
          <w:sz w:val="20"/>
          <w:szCs w:val="22"/>
        </w:rPr>
        <w:t>Indien de vertrouwenspersoon het bericht ontvangt stuurt deze het door aan de melder.</w:t>
      </w:r>
    </w:p>
    <w:p w:rsidR="00927851" w:rsidRPr="00FE7E9C" w:rsidRDefault="00927851" w:rsidP="00927851">
      <w:pPr>
        <w:widowControl w:val="0"/>
        <w:kinsoku w:val="0"/>
        <w:ind w:left="284" w:hanging="284"/>
        <w:rPr>
          <w:sz w:val="20"/>
          <w:szCs w:val="22"/>
        </w:rPr>
      </w:pPr>
      <w:r w:rsidRPr="00FE7E9C">
        <w:rPr>
          <w:spacing w:val="-1"/>
          <w:sz w:val="20"/>
          <w:szCs w:val="22"/>
        </w:rPr>
        <w:t>6.</w:t>
      </w:r>
      <w:r w:rsidRPr="00FE7E9C">
        <w:rPr>
          <w:spacing w:val="-1"/>
          <w:sz w:val="20"/>
          <w:szCs w:val="22"/>
        </w:rPr>
        <w:tab/>
        <w:t>Bij het in lid 4 bedoelde bericht wordt mededeling gedaan van de mogelijkheid het ve</w:t>
      </w:r>
      <w:r w:rsidRPr="00FE7E9C">
        <w:rPr>
          <w:spacing w:val="-1"/>
          <w:sz w:val="20"/>
          <w:szCs w:val="22"/>
        </w:rPr>
        <w:t>r</w:t>
      </w:r>
      <w:r w:rsidRPr="00FE7E9C">
        <w:rPr>
          <w:spacing w:val="-1"/>
          <w:sz w:val="20"/>
          <w:szCs w:val="22"/>
        </w:rPr>
        <w:t xml:space="preserve">moeden van </w:t>
      </w:r>
      <w:r w:rsidRPr="00FE7E9C">
        <w:rPr>
          <w:sz w:val="20"/>
          <w:szCs w:val="22"/>
        </w:rPr>
        <w:t>een misstand te melden bij de klachtencommissie waarbij het bestuur is aang</w:t>
      </w:r>
      <w:r w:rsidRPr="00FE7E9C">
        <w:rPr>
          <w:sz w:val="20"/>
          <w:szCs w:val="22"/>
        </w:rPr>
        <w:t>e</w:t>
      </w:r>
      <w:r w:rsidRPr="00FE7E9C">
        <w:rPr>
          <w:sz w:val="20"/>
          <w:szCs w:val="22"/>
        </w:rPr>
        <w:t>sloten.</w:t>
      </w:r>
    </w:p>
    <w:p w:rsidR="00927851" w:rsidRPr="00927851" w:rsidRDefault="00927851" w:rsidP="00927851">
      <w:pPr>
        <w:widowControl w:val="0"/>
        <w:kinsoku w:val="0"/>
        <w:spacing w:before="252" w:line="206" w:lineRule="auto"/>
        <w:rPr>
          <w:b/>
          <w:bCs/>
          <w:szCs w:val="22"/>
        </w:rPr>
      </w:pPr>
      <w:r w:rsidRPr="00927851">
        <w:rPr>
          <w:b/>
          <w:bCs/>
          <w:szCs w:val="22"/>
        </w:rPr>
        <w:t>Artikel 9</w:t>
      </w:r>
    </w:p>
    <w:p w:rsidR="00927851" w:rsidRPr="00FE7E9C" w:rsidRDefault="00927851" w:rsidP="00CA3DB9">
      <w:pPr>
        <w:widowControl w:val="0"/>
        <w:numPr>
          <w:ilvl w:val="0"/>
          <w:numId w:val="16"/>
        </w:numPr>
        <w:tabs>
          <w:tab w:val="clear" w:pos="216"/>
        </w:tabs>
        <w:kinsoku w:val="0"/>
        <w:ind w:left="284" w:hanging="284"/>
        <w:rPr>
          <w:sz w:val="20"/>
          <w:szCs w:val="22"/>
        </w:rPr>
      </w:pPr>
      <w:r w:rsidRPr="00FE7E9C">
        <w:rPr>
          <w:spacing w:val="-2"/>
          <w:sz w:val="20"/>
          <w:szCs w:val="22"/>
        </w:rPr>
        <w:t>Het bestuur bericht de melder of de vertrouwenspersoon zo spoedig mogelijk, maar uite</w:t>
      </w:r>
      <w:r w:rsidRPr="00FE7E9C">
        <w:rPr>
          <w:spacing w:val="-2"/>
          <w:sz w:val="20"/>
          <w:szCs w:val="22"/>
        </w:rPr>
        <w:t>r</w:t>
      </w:r>
      <w:r w:rsidRPr="00FE7E9C">
        <w:rPr>
          <w:spacing w:val="-2"/>
          <w:sz w:val="20"/>
          <w:szCs w:val="22"/>
        </w:rPr>
        <w:t xml:space="preserve">lijk twaalf </w:t>
      </w:r>
      <w:r w:rsidRPr="00FE7E9C">
        <w:rPr>
          <w:spacing w:val="3"/>
          <w:sz w:val="20"/>
          <w:szCs w:val="22"/>
        </w:rPr>
        <w:t xml:space="preserve">weken na ontvangst van de melding, schriftelijk en gemotiveerd over de bevindingen van het </w:t>
      </w:r>
      <w:r w:rsidRPr="00FE7E9C">
        <w:rPr>
          <w:sz w:val="20"/>
          <w:szCs w:val="22"/>
        </w:rPr>
        <w:t>onderzoek, het oordeel daarover en de eventuele gevolgen die daaraan wo</w:t>
      </w:r>
      <w:r w:rsidRPr="00FE7E9C">
        <w:rPr>
          <w:sz w:val="20"/>
          <w:szCs w:val="22"/>
        </w:rPr>
        <w:t>r</w:t>
      </w:r>
      <w:r w:rsidRPr="00FE7E9C">
        <w:rPr>
          <w:sz w:val="20"/>
          <w:szCs w:val="22"/>
        </w:rPr>
        <w:t>den verbonden.</w:t>
      </w:r>
      <w:r w:rsidR="00CA3DB9" w:rsidRPr="00FE7E9C">
        <w:rPr>
          <w:rStyle w:val="Eindnootmarkering"/>
          <w:sz w:val="20"/>
          <w:szCs w:val="22"/>
        </w:rPr>
        <w:endnoteReference w:id="1"/>
      </w:r>
    </w:p>
    <w:p w:rsidR="00927851" w:rsidRPr="00FE7E9C" w:rsidRDefault="00927851" w:rsidP="00CA3DB9">
      <w:pPr>
        <w:widowControl w:val="0"/>
        <w:numPr>
          <w:ilvl w:val="0"/>
          <w:numId w:val="16"/>
        </w:numPr>
        <w:tabs>
          <w:tab w:val="clear" w:pos="216"/>
        </w:tabs>
        <w:kinsoku w:val="0"/>
        <w:spacing w:before="36"/>
        <w:ind w:left="284" w:hanging="284"/>
        <w:rPr>
          <w:sz w:val="20"/>
          <w:szCs w:val="22"/>
        </w:rPr>
      </w:pPr>
      <w:r w:rsidRPr="00FE7E9C">
        <w:rPr>
          <w:spacing w:val="3"/>
          <w:sz w:val="20"/>
          <w:szCs w:val="22"/>
        </w:rPr>
        <w:t xml:space="preserve">Indien niet binnen twaalf weken toepassing kan worden gegeven aan het eerste lid, stelt het </w:t>
      </w:r>
      <w:r w:rsidRPr="00FE7E9C">
        <w:rPr>
          <w:spacing w:val="-2"/>
          <w:sz w:val="20"/>
          <w:szCs w:val="22"/>
        </w:rPr>
        <w:t xml:space="preserve">bestuur de melder of de vertrouwenspersoon daarvan vóór afloop van deze termijn schriftelijk en met </w:t>
      </w:r>
      <w:r w:rsidRPr="00FE7E9C">
        <w:rPr>
          <w:spacing w:val="1"/>
          <w:sz w:val="20"/>
          <w:szCs w:val="22"/>
        </w:rPr>
        <w:t>vermelding van redenen op de hoogte. Daarbij wordt de termijn aangegeven waarbinnen de me</w:t>
      </w:r>
      <w:r w:rsidRPr="00FE7E9C">
        <w:rPr>
          <w:spacing w:val="1"/>
          <w:sz w:val="20"/>
          <w:szCs w:val="22"/>
        </w:rPr>
        <w:t>l</w:t>
      </w:r>
      <w:r w:rsidRPr="00FE7E9C">
        <w:rPr>
          <w:spacing w:val="1"/>
          <w:sz w:val="20"/>
          <w:szCs w:val="22"/>
        </w:rPr>
        <w:t xml:space="preserve">der of </w:t>
      </w:r>
      <w:r w:rsidRPr="00FE7E9C">
        <w:rPr>
          <w:sz w:val="20"/>
          <w:szCs w:val="22"/>
        </w:rPr>
        <w:t>de vertrouwenspersoon het in lid 1 bedoelde bericht zal on</w:t>
      </w:r>
      <w:r w:rsidRPr="00FE7E9C">
        <w:rPr>
          <w:sz w:val="20"/>
          <w:szCs w:val="22"/>
        </w:rPr>
        <w:t>t</w:t>
      </w:r>
      <w:r w:rsidRPr="00FE7E9C">
        <w:rPr>
          <w:sz w:val="20"/>
          <w:szCs w:val="22"/>
        </w:rPr>
        <w:t>vangen.</w:t>
      </w:r>
    </w:p>
    <w:p w:rsidR="00927851" w:rsidRPr="00FE7E9C" w:rsidRDefault="00927851" w:rsidP="00CA3DB9">
      <w:pPr>
        <w:widowControl w:val="0"/>
        <w:numPr>
          <w:ilvl w:val="0"/>
          <w:numId w:val="16"/>
        </w:numPr>
        <w:tabs>
          <w:tab w:val="clear" w:pos="216"/>
        </w:tabs>
        <w:kinsoku w:val="0"/>
        <w:ind w:left="284" w:hanging="284"/>
        <w:rPr>
          <w:sz w:val="20"/>
          <w:szCs w:val="22"/>
        </w:rPr>
      </w:pPr>
      <w:r w:rsidRPr="00FE7E9C">
        <w:rPr>
          <w:spacing w:val="-1"/>
          <w:sz w:val="20"/>
          <w:szCs w:val="22"/>
        </w:rPr>
        <w:t xml:space="preserve">Indien de vertrouwenspersoon het in lid 1 of 2 bedoelde bericht ontvangt, stuurt deze het door aan </w:t>
      </w:r>
      <w:r w:rsidRPr="00FE7E9C">
        <w:rPr>
          <w:sz w:val="20"/>
          <w:szCs w:val="22"/>
        </w:rPr>
        <w:t>de melder.</w:t>
      </w:r>
    </w:p>
    <w:p w:rsidR="00927851" w:rsidRPr="00FE7E9C" w:rsidRDefault="00927851" w:rsidP="00CA3DB9">
      <w:pPr>
        <w:widowControl w:val="0"/>
        <w:numPr>
          <w:ilvl w:val="0"/>
          <w:numId w:val="16"/>
        </w:numPr>
        <w:tabs>
          <w:tab w:val="clear" w:pos="216"/>
        </w:tabs>
        <w:kinsoku w:val="0"/>
        <w:ind w:left="284" w:hanging="284"/>
        <w:rPr>
          <w:sz w:val="20"/>
          <w:szCs w:val="22"/>
        </w:rPr>
      </w:pPr>
      <w:r w:rsidRPr="00FE7E9C">
        <w:rPr>
          <w:spacing w:val="-3"/>
          <w:sz w:val="20"/>
          <w:szCs w:val="22"/>
        </w:rPr>
        <w:t>De persoon/personen op wie de melding betrekking heeft ontvangen het in lid 1 of 2 bedoe</w:t>
      </w:r>
      <w:r w:rsidRPr="00FE7E9C">
        <w:rPr>
          <w:spacing w:val="-3"/>
          <w:sz w:val="20"/>
          <w:szCs w:val="22"/>
        </w:rPr>
        <w:t>l</w:t>
      </w:r>
      <w:r w:rsidRPr="00FE7E9C">
        <w:rPr>
          <w:spacing w:val="-3"/>
          <w:sz w:val="20"/>
          <w:szCs w:val="22"/>
        </w:rPr>
        <w:t xml:space="preserve">de </w:t>
      </w:r>
      <w:r w:rsidRPr="00FE7E9C">
        <w:rPr>
          <w:sz w:val="20"/>
          <w:szCs w:val="22"/>
        </w:rPr>
        <w:t>bericht ook, tenzij daardoor een onderzoeksbelang kan worden geschaad.</w:t>
      </w:r>
    </w:p>
    <w:p w:rsidR="00927851" w:rsidRPr="00FE7E9C" w:rsidRDefault="00927851" w:rsidP="00CA3DB9">
      <w:pPr>
        <w:widowControl w:val="0"/>
        <w:numPr>
          <w:ilvl w:val="0"/>
          <w:numId w:val="16"/>
        </w:numPr>
        <w:tabs>
          <w:tab w:val="clear" w:pos="216"/>
        </w:tabs>
        <w:kinsoku w:val="0"/>
        <w:ind w:left="284" w:hanging="284"/>
        <w:rPr>
          <w:sz w:val="20"/>
          <w:szCs w:val="22"/>
        </w:rPr>
      </w:pPr>
      <w:r w:rsidRPr="00FE7E9C">
        <w:rPr>
          <w:spacing w:val="-2"/>
          <w:sz w:val="20"/>
          <w:szCs w:val="22"/>
        </w:rPr>
        <w:t>Indien de melder het in het eerste lid bedoelde bericht niet binnen de termijnen zoals b</w:t>
      </w:r>
      <w:r w:rsidRPr="00FE7E9C">
        <w:rPr>
          <w:spacing w:val="-2"/>
          <w:sz w:val="20"/>
          <w:szCs w:val="22"/>
        </w:rPr>
        <w:t>e</w:t>
      </w:r>
      <w:r w:rsidRPr="00FE7E9C">
        <w:rPr>
          <w:spacing w:val="-2"/>
          <w:sz w:val="20"/>
          <w:szCs w:val="22"/>
        </w:rPr>
        <w:t xml:space="preserve">doeld in het </w:t>
      </w:r>
      <w:r w:rsidRPr="00FE7E9C">
        <w:rPr>
          <w:spacing w:val="3"/>
          <w:sz w:val="20"/>
          <w:szCs w:val="22"/>
        </w:rPr>
        <w:t xml:space="preserve">eerste of tweede lid heeft ontvangen of de termijn in het tweede lid onredelijk lang is, kan hij een </w:t>
      </w:r>
      <w:r w:rsidRPr="00FE7E9C">
        <w:rPr>
          <w:sz w:val="20"/>
          <w:szCs w:val="22"/>
        </w:rPr>
        <w:t>melding doen bij de klachtencommissie waarbij het bestuur is aangesl</w:t>
      </w:r>
      <w:r w:rsidRPr="00FE7E9C">
        <w:rPr>
          <w:sz w:val="20"/>
          <w:szCs w:val="22"/>
        </w:rPr>
        <w:t>o</w:t>
      </w:r>
      <w:r w:rsidRPr="00FE7E9C">
        <w:rPr>
          <w:sz w:val="20"/>
          <w:szCs w:val="22"/>
        </w:rPr>
        <w:t>ten.</w:t>
      </w:r>
    </w:p>
    <w:p w:rsidR="00CA3DB9" w:rsidRPr="00927851" w:rsidRDefault="00CA3DB9" w:rsidP="00CA3DB9">
      <w:pPr>
        <w:widowControl w:val="0"/>
        <w:kinsoku w:val="0"/>
        <w:ind w:left="28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CA3DB9" w:rsidTr="009B1E01">
        <w:tc>
          <w:tcPr>
            <w:tcW w:w="9212" w:type="dxa"/>
          </w:tcPr>
          <w:p w:rsidR="00CA3DB9" w:rsidRDefault="00CA3DB9" w:rsidP="00CA3DB9">
            <w:pPr>
              <w:rPr>
                <w:b/>
              </w:rPr>
            </w:pPr>
            <w:r>
              <w:rPr>
                <w:b/>
              </w:rPr>
              <w:t xml:space="preserve">Hoofdstuk 5: Slotbepalingen </w:t>
            </w:r>
          </w:p>
        </w:tc>
      </w:tr>
    </w:tbl>
    <w:p w:rsidR="00CA3DB9" w:rsidRPr="00CA3DB9" w:rsidRDefault="00CA3DB9" w:rsidP="00CA3DB9">
      <w:pPr>
        <w:widowControl w:val="0"/>
        <w:kinsoku w:val="0"/>
        <w:spacing w:before="252" w:line="206" w:lineRule="auto"/>
        <w:rPr>
          <w:b/>
          <w:bCs/>
          <w:szCs w:val="22"/>
        </w:rPr>
      </w:pPr>
      <w:r w:rsidRPr="00CA3DB9">
        <w:rPr>
          <w:b/>
          <w:bCs/>
          <w:szCs w:val="22"/>
        </w:rPr>
        <w:t>Artikel 10</w:t>
      </w:r>
    </w:p>
    <w:p w:rsidR="00CA3DB9" w:rsidRPr="00FE7E9C" w:rsidRDefault="00CA3DB9" w:rsidP="00CA3DB9">
      <w:pPr>
        <w:widowControl w:val="0"/>
        <w:kinsoku w:val="0"/>
        <w:rPr>
          <w:sz w:val="20"/>
          <w:szCs w:val="22"/>
        </w:rPr>
      </w:pPr>
      <w:r w:rsidRPr="00FE7E9C">
        <w:rPr>
          <w:spacing w:val="-3"/>
          <w:sz w:val="20"/>
          <w:szCs w:val="22"/>
        </w:rPr>
        <w:t xml:space="preserve">Deze regeling wordt door het bestuur met instemming van de (G)MR bij de instelling voor primair </w:t>
      </w:r>
      <w:r w:rsidRPr="00FE7E9C">
        <w:rPr>
          <w:sz w:val="20"/>
          <w:szCs w:val="22"/>
        </w:rPr>
        <w:t>onde</w:t>
      </w:r>
      <w:r w:rsidRPr="00FE7E9C">
        <w:rPr>
          <w:sz w:val="20"/>
          <w:szCs w:val="22"/>
        </w:rPr>
        <w:t>r</w:t>
      </w:r>
      <w:r w:rsidRPr="00FE7E9C">
        <w:rPr>
          <w:sz w:val="20"/>
          <w:szCs w:val="22"/>
        </w:rPr>
        <w:t>wijs van toepassing verklaard.</w:t>
      </w:r>
    </w:p>
    <w:p w:rsidR="00CA3DB9" w:rsidRPr="00CA3DB9" w:rsidRDefault="00CA3DB9" w:rsidP="00CA3DB9">
      <w:pPr>
        <w:widowControl w:val="0"/>
        <w:kinsoku w:val="0"/>
        <w:spacing w:before="252" w:line="206" w:lineRule="auto"/>
        <w:rPr>
          <w:b/>
          <w:bCs/>
          <w:spacing w:val="-6"/>
          <w:szCs w:val="22"/>
        </w:rPr>
      </w:pPr>
      <w:r w:rsidRPr="00CA3DB9">
        <w:rPr>
          <w:b/>
          <w:bCs/>
          <w:spacing w:val="-6"/>
          <w:szCs w:val="22"/>
        </w:rPr>
        <w:t>Artikel 11</w:t>
      </w:r>
    </w:p>
    <w:p w:rsidR="00CA3DB9" w:rsidRPr="00FE7E9C" w:rsidRDefault="00CA3DB9" w:rsidP="00CA3DB9">
      <w:pPr>
        <w:widowControl w:val="0"/>
        <w:kinsoku w:val="0"/>
        <w:rPr>
          <w:sz w:val="20"/>
          <w:szCs w:val="22"/>
        </w:rPr>
      </w:pPr>
      <w:r w:rsidRPr="00FE7E9C">
        <w:rPr>
          <w:sz w:val="20"/>
          <w:szCs w:val="22"/>
        </w:rPr>
        <w:t>Deze regeling treedt in werking met ingang van:</w:t>
      </w:r>
      <w:r w:rsidR="005E12AE">
        <w:rPr>
          <w:sz w:val="20"/>
          <w:szCs w:val="22"/>
        </w:rPr>
        <w:t xml:space="preserve"> </w:t>
      </w:r>
      <w:r w:rsidR="00D35AE5">
        <w:rPr>
          <w:sz w:val="20"/>
          <w:szCs w:val="22"/>
        </w:rPr>
        <w:t>1.1.2015</w:t>
      </w:r>
    </w:p>
    <w:p w:rsidR="00CA3DB9" w:rsidRPr="00CA3DB9" w:rsidRDefault="00CA3DB9" w:rsidP="00CA3DB9">
      <w:pPr>
        <w:widowControl w:val="0"/>
        <w:kinsoku w:val="0"/>
        <w:spacing w:before="252" w:line="204" w:lineRule="auto"/>
        <w:rPr>
          <w:b/>
          <w:bCs/>
          <w:szCs w:val="22"/>
        </w:rPr>
      </w:pPr>
      <w:r w:rsidRPr="00CA3DB9">
        <w:rPr>
          <w:b/>
          <w:bCs/>
          <w:szCs w:val="22"/>
        </w:rPr>
        <w:t>Artikel 12</w:t>
      </w:r>
    </w:p>
    <w:p w:rsidR="00CA3DB9" w:rsidRPr="00FE7E9C" w:rsidRDefault="00CA3DB9" w:rsidP="00CA3DB9">
      <w:pPr>
        <w:widowControl w:val="0"/>
        <w:kinsoku w:val="0"/>
        <w:spacing w:before="36"/>
        <w:rPr>
          <w:sz w:val="20"/>
          <w:szCs w:val="22"/>
        </w:rPr>
      </w:pPr>
      <w:r w:rsidRPr="00FE7E9C">
        <w:rPr>
          <w:spacing w:val="-2"/>
          <w:sz w:val="20"/>
          <w:szCs w:val="22"/>
        </w:rPr>
        <w:t xml:space="preserve">Deze regeling kan worden aangehaald als: "Meldingsregeling vermoeden van misstand voor het </w:t>
      </w:r>
      <w:r w:rsidRPr="00FE7E9C">
        <w:rPr>
          <w:sz w:val="20"/>
          <w:szCs w:val="22"/>
        </w:rPr>
        <w:t>primair onderwijs".</w:t>
      </w:r>
    </w:p>
    <w:sectPr w:rsidR="00CA3DB9" w:rsidRPr="00FE7E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46" w:rsidRDefault="00547746">
      <w:r>
        <w:separator/>
      </w:r>
    </w:p>
  </w:endnote>
  <w:endnote w:type="continuationSeparator" w:id="0">
    <w:p w:rsidR="00547746" w:rsidRDefault="00547746">
      <w:r>
        <w:continuationSeparator/>
      </w:r>
    </w:p>
  </w:endnote>
  <w:endnote w:id="1">
    <w:p w:rsidR="00CA3DB9" w:rsidRDefault="00CA3DB9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Pr="00CA3DB9">
        <w:rPr>
          <w:rStyle w:val="CharacterStyle2"/>
          <w:spacing w:val="-2"/>
          <w:sz w:val="18"/>
          <w:szCs w:val="22"/>
        </w:rPr>
        <w:t xml:space="preserve">Het genoemde in artikel 9 lid 1 over de bevindingen van het onderzoek, het oordeel daarover en de </w:t>
      </w:r>
      <w:r w:rsidRPr="00CA3DB9">
        <w:rPr>
          <w:rStyle w:val="CharacterStyle2"/>
          <w:spacing w:val="1"/>
          <w:sz w:val="18"/>
          <w:szCs w:val="22"/>
        </w:rPr>
        <w:t xml:space="preserve">eventuele gevolgen die daaraan verbonden kunnen worden, kunnen leiden tot een besluit in de zin </w:t>
      </w:r>
      <w:r w:rsidRPr="00CA3DB9">
        <w:rPr>
          <w:rStyle w:val="CharacterStyle2"/>
          <w:sz w:val="18"/>
          <w:szCs w:val="22"/>
        </w:rPr>
        <w:t xml:space="preserve">van de Algemene Wet Bestuursrecht. Dit hangt af van de omstandigheden van het geval en of het </w:t>
      </w:r>
      <w:r w:rsidRPr="00CA3DB9">
        <w:rPr>
          <w:rStyle w:val="CharacterStyle2"/>
          <w:spacing w:val="1"/>
          <w:sz w:val="18"/>
          <w:szCs w:val="22"/>
        </w:rPr>
        <w:t>bestuur er rechtsgevolgen aan ve</w:t>
      </w:r>
      <w:r w:rsidRPr="00CA3DB9">
        <w:rPr>
          <w:rStyle w:val="CharacterStyle2"/>
          <w:spacing w:val="1"/>
          <w:sz w:val="18"/>
          <w:szCs w:val="22"/>
        </w:rPr>
        <w:t>r</w:t>
      </w:r>
      <w:r w:rsidRPr="00CA3DB9">
        <w:rPr>
          <w:rStyle w:val="CharacterStyle2"/>
          <w:spacing w:val="1"/>
          <w:sz w:val="18"/>
          <w:szCs w:val="22"/>
        </w:rPr>
        <w:t xml:space="preserve">bindt. Indien dit het geval is dan kan de melder bezwaar maken </w:t>
      </w:r>
      <w:r w:rsidRPr="00CA3DB9">
        <w:rPr>
          <w:rStyle w:val="CharacterStyle2"/>
          <w:spacing w:val="-1"/>
          <w:sz w:val="18"/>
          <w:szCs w:val="22"/>
        </w:rPr>
        <w:t>tegen het besluit en vervolgens nog beroep i</w:t>
      </w:r>
      <w:r w:rsidRPr="00CA3DB9">
        <w:rPr>
          <w:rStyle w:val="CharacterStyle2"/>
          <w:spacing w:val="-1"/>
          <w:sz w:val="18"/>
          <w:szCs w:val="22"/>
        </w:rPr>
        <w:t>n</w:t>
      </w:r>
      <w:r w:rsidRPr="00CA3DB9">
        <w:rPr>
          <w:rStyle w:val="CharacterStyle2"/>
          <w:spacing w:val="-1"/>
          <w:sz w:val="18"/>
          <w:szCs w:val="22"/>
        </w:rPr>
        <w:t xml:space="preserve">stellen. Er kan dus voor de melder nog een rechtsgang </w:t>
      </w:r>
      <w:r w:rsidRPr="00CA3DB9">
        <w:rPr>
          <w:rStyle w:val="CharacterStyle2"/>
          <w:sz w:val="18"/>
          <w:szCs w:val="22"/>
        </w:rPr>
        <w:t>open staan</w:t>
      </w:r>
      <w:r w:rsidR="006306D1">
        <w:rPr>
          <w:rStyle w:val="CharacterStyle2"/>
          <w:sz w:val="18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19" w:rsidRPr="00610319" w:rsidRDefault="00610319" w:rsidP="00610319">
    <w:pPr>
      <w:pStyle w:val="Voettekst"/>
      <w:pBdr>
        <w:top w:val="thinThickSmallGap" w:sz="24" w:space="1" w:color="622423"/>
      </w:pBdr>
      <w:tabs>
        <w:tab w:val="clear" w:pos="4536"/>
      </w:tabs>
      <w:rPr>
        <w:sz w:val="18"/>
      </w:rPr>
    </w:pPr>
    <w:r w:rsidRPr="00610319">
      <w:rPr>
        <w:sz w:val="18"/>
      </w:rPr>
      <w:t>Handboek</w:t>
    </w:r>
    <w:r w:rsidR="00763B69">
      <w:rPr>
        <w:sz w:val="18"/>
      </w:rPr>
      <w:t xml:space="preserve"> SBGEV Personeel &amp;</w:t>
    </w:r>
    <w:r w:rsidRPr="00610319">
      <w:rPr>
        <w:sz w:val="18"/>
      </w:rPr>
      <w:t xml:space="preserve"> </w:t>
    </w:r>
    <w:r w:rsidR="00906348">
      <w:rPr>
        <w:sz w:val="18"/>
      </w:rPr>
      <w:t>Organisatie</w:t>
    </w:r>
    <w:r w:rsidRPr="00610319">
      <w:rPr>
        <w:sz w:val="18"/>
      </w:rPr>
      <w:tab/>
      <w:t xml:space="preserve">Pagina </w:t>
    </w:r>
    <w:r w:rsidRPr="00610319">
      <w:rPr>
        <w:sz w:val="18"/>
      </w:rPr>
      <w:fldChar w:fldCharType="begin"/>
    </w:r>
    <w:r w:rsidRPr="00610319">
      <w:rPr>
        <w:sz w:val="18"/>
      </w:rPr>
      <w:instrText>PAGE   \* MERGEFORMAT</w:instrText>
    </w:r>
    <w:r w:rsidRPr="00610319">
      <w:rPr>
        <w:sz w:val="18"/>
      </w:rPr>
      <w:fldChar w:fldCharType="separate"/>
    </w:r>
    <w:r w:rsidR="00F70EFA">
      <w:rPr>
        <w:noProof/>
        <w:sz w:val="18"/>
      </w:rPr>
      <w:t>2</w:t>
    </w:r>
    <w:r w:rsidRPr="00610319">
      <w:rPr>
        <w:sz w:val="18"/>
      </w:rPr>
      <w:fldChar w:fldCharType="end"/>
    </w:r>
  </w:p>
  <w:p w:rsidR="003A06A5" w:rsidRDefault="003A06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46" w:rsidRDefault="00547746">
      <w:r>
        <w:separator/>
      </w:r>
    </w:p>
  </w:footnote>
  <w:footnote w:type="continuationSeparator" w:id="0">
    <w:p w:rsidR="00547746" w:rsidRDefault="0054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6F5"/>
    <w:multiLevelType w:val="singleLevel"/>
    <w:tmpl w:val="3A35EA10"/>
    <w:lvl w:ilvl="0">
      <w:start w:val="1"/>
      <w:numFmt w:val="lowerLetter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i/>
        <w:iCs/>
        <w:snapToGrid/>
        <w:spacing w:val="-1"/>
        <w:sz w:val="19"/>
        <w:szCs w:val="19"/>
      </w:rPr>
    </w:lvl>
  </w:abstractNum>
  <w:abstractNum w:abstractNumId="1" w15:restartNumberingAfterBreak="0">
    <w:nsid w:val="006C01D9"/>
    <w:multiLevelType w:val="singleLevel"/>
    <w:tmpl w:val="4E5E2C2C"/>
    <w:lvl w:ilvl="0">
      <w:start w:val="1"/>
      <w:numFmt w:val="lowerLetter"/>
      <w:lvlText w:val="%1."/>
      <w:lvlJc w:val="left"/>
      <w:pPr>
        <w:tabs>
          <w:tab w:val="num" w:pos="288"/>
        </w:tabs>
        <w:ind w:firstLine="72"/>
      </w:pPr>
      <w:rPr>
        <w:rFonts w:ascii="Arial" w:hAnsi="Arial" w:cs="Arial"/>
        <w:snapToGrid/>
        <w:spacing w:val="-1"/>
        <w:sz w:val="19"/>
        <w:szCs w:val="19"/>
      </w:rPr>
    </w:lvl>
  </w:abstractNum>
  <w:abstractNum w:abstractNumId="2" w15:restartNumberingAfterBreak="0">
    <w:nsid w:val="017F27D4"/>
    <w:multiLevelType w:val="singleLevel"/>
    <w:tmpl w:val="16D22CB8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2"/>
        <w:sz w:val="19"/>
        <w:szCs w:val="19"/>
      </w:rPr>
    </w:lvl>
  </w:abstractNum>
  <w:abstractNum w:abstractNumId="3" w15:restartNumberingAfterBreak="0">
    <w:nsid w:val="01DB06FE"/>
    <w:multiLevelType w:val="singleLevel"/>
    <w:tmpl w:val="23342221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2"/>
        <w:sz w:val="19"/>
        <w:szCs w:val="19"/>
      </w:rPr>
    </w:lvl>
  </w:abstractNum>
  <w:abstractNum w:abstractNumId="4" w15:restartNumberingAfterBreak="0">
    <w:nsid w:val="020E38A0"/>
    <w:multiLevelType w:val="singleLevel"/>
    <w:tmpl w:val="103A7B84"/>
    <w:lvl w:ilvl="0">
      <w:start w:val="1"/>
      <w:numFmt w:val="lowerLetter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3"/>
        <w:sz w:val="19"/>
        <w:szCs w:val="19"/>
      </w:rPr>
    </w:lvl>
  </w:abstractNum>
  <w:abstractNum w:abstractNumId="5" w15:restartNumberingAfterBreak="0">
    <w:nsid w:val="055C7B8B"/>
    <w:multiLevelType w:val="singleLevel"/>
    <w:tmpl w:val="1B10E59A"/>
    <w:lvl w:ilvl="0">
      <w:start w:val="1"/>
      <w:numFmt w:val="lowerLetter"/>
      <w:lvlText w:val="%1."/>
      <w:lvlJc w:val="left"/>
      <w:pPr>
        <w:tabs>
          <w:tab w:val="num" w:pos="216"/>
        </w:tabs>
        <w:ind w:left="72"/>
      </w:pPr>
      <w:rPr>
        <w:rFonts w:ascii="Arial" w:hAnsi="Arial" w:cs="Arial"/>
        <w:snapToGrid/>
        <w:spacing w:val="6"/>
        <w:sz w:val="19"/>
        <w:szCs w:val="19"/>
      </w:rPr>
    </w:lvl>
  </w:abstractNum>
  <w:abstractNum w:abstractNumId="6" w15:restartNumberingAfterBreak="0">
    <w:nsid w:val="061C99A6"/>
    <w:multiLevelType w:val="singleLevel"/>
    <w:tmpl w:val="6CDCB30E"/>
    <w:lvl w:ilvl="0">
      <w:start w:val="1"/>
      <w:numFmt w:val="lowerLetter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1"/>
        <w:sz w:val="19"/>
        <w:szCs w:val="19"/>
      </w:rPr>
    </w:lvl>
  </w:abstractNum>
  <w:abstractNum w:abstractNumId="7" w15:restartNumberingAfterBreak="0">
    <w:nsid w:val="064AD13C"/>
    <w:multiLevelType w:val="singleLevel"/>
    <w:tmpl w:val="3BC7A0C6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Arial" w:hAnsi="Arial" w:cs="Arial"/>
        <w:snapToGrid/>
        <w:sz w:val="19"/>
        <w:szCs w:val="19"/>
      </w:rPr>
    </w:lvl>
  </w:abstractNum>
  <w:abstractNum w:abstractNumId="8" w15:restartNumberingAfterBreak="0">
    <w:nsid w:val="38606F88"/>
    <w:multiLevelType w:val="hybridMultilevel"/>
    <w:tmpl w:val="17883F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81277"/>
    <w:multiLevelType w:val="hybridMultilevel"/>
    <w:tmpl w:val="F4DA0032"/>
    <w:lvl w:ilvl="0" w:tplc="5D807C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B520E"/>
    <w:multiLevelType w:val="hybridMultilevel"/>
    <w:tmpl w:val="3C18EE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43901"/>
    <w:multiLevelType w:val="hybridMultilevel"/>
    <w:tmpl w:val="E580F84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30C77"/>
    <w:multiLevelType w:val="hybridMultilevel"/>
    <w:tmpl w:val="EC0E57C6"/>
    <w:lvl w:ilvl="0" w:tplc="DA2C6650">
      <w:start w:val="9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0"/>
    <w:lvlOverride w:ilvl="0">
      <w:lvl w:ilvl="0">
        <w:numFmt w:val="lowerLetter"/>
        <w:lvlText w:val="%1."/>
        <w:lvlJc w:val="left"/>
        <w:pPr>
          <w:tabs>
            <w:tab w:val="num" w:pos="144"/>
          </w:tabs>
          <w:ind w:firstLine="72"/>
        </w:pPr>
        <w:rPr>
          <w:rFonts w:ascii="Arial" w:hAnsi="Arial" w:cs="Arial"/>
          <w:i/>
          <w:iCs/>
          <w:snapToGrid/>
          <w:spacing w:val="-4"/>
          <w:sz w:val="19"/>
          <w:szCs w:val="19"/>
        </w:rPr>
      </w:lvl>
    </w:lvlOverride>
  </w:num>
  <w:num w:numId="6">
    <w:abstractNumId w:val="3"/>
  </w:num>
  <w:num w:numId="7">
    <w:abstractNumId w:val="5"/>
  </w:num>
  <w:num w:numId="8">
    <w:abstractNumId w:val="5"/>
    <w:lvlOverride w:ilvl="0">
      <w:lvl w:ilvl="0">
        <w:numFmt w:val="lowerLetter"/>
        <w:lvlText w:val="%1."/>
        <w:lvlJc w:val="left"/>
        <w:pPr>
          <w:tabs>
            <w:tab w:val="num" w:pos="144"/>
          </w:tabs>
          <w:ind w:left="72"/>
        </w:pPr>
        <w:rPr>
          <w:rFonts w:ascii="Arial" w:hAnsi="Arial" w:cs="Arial"/>
          <w:snapToGrid/>
          <w:spacing w:val="3"/>
          <w:sz w:val="19"/>
          <w:szCs w:val="19"/>
        </w:rPr>
      </w:lvl>
    </w:lvlOverride>
  </w:num>
  <w:num w:numId="9">
    <w:abstractNumId w:val="5"/>
    <w:lvlOverride w:ilvl="0">
      <w:lvl w:ilvl="0">
        <w:numFmt w:val="lowerLetter"/>
        <w:lvlText w:val="%1."/>
        <w:lvlJc w:val="left"/>
        <w:pPr>
          <w:tabs>
            <w:tab w:val="num" w:pos="144"/>
          </w:tabs>
          <w:ind w:left="72"/>
        </w:pPr>
        <w:rPr>
          <w:rFonts w:ascii="Arial" w:hAnsi="Arial" w:cs="Arial"/>
          <w:snapToGrid/>
          <w:spacing w:val="3"/>
          <w:sz w:val="19"/>
          <w:szCs w:val="19"/>
        </w:rPr>
      </w:lvl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53"/>
    <w:rsid w:val="000048D1"/>
    <w:rsid w:val="00072F5D"/>
    <w:rsid w:val="00093218"/>
    <w:rsid w:val="000E238F"/>
    <w:rsid w:val="001664C8"/>
    <w:rsid w:val="00197F8F"/>
    <w:rsid w:val="002A60A2"/>
    <w:rsid w:val="002A7145"/>
    <w:rsid w:val="003672CD"/>
    <w:rsid w:val="0036793A"/>
    <w:rsid w:val="003A06A5"/>
    <w:rsid w:val="003E1736"/>
    <w:rsid w:val="003F353B"/>
    <w:rsid w:val="004339BB"/>
    <w:rsid w:val="004B597D"/>
    <w:rsid w:val="00500FDD"/>
    <w:rsid w:val="005015DC"/>
    <w:rsid w:val="00547746"/>
    <w:rsid w:val="00570452"/>
    <w:rsid w:val="005828F5"/>
    <w:rsid w:val="005A05CD"/>
    <w:rsid w:val="005A3C28"/>
    <w:rsid w:val="005E12AE"/>
    <w:rsid w:val="00610319"/>
    <w:rsid w:val="006306D1"/>
    <w:rsid w:val="006758BC"/>
    <w:rsid w:val="00693B40"/>
    <w:rsid w:val="006B7684"/>
    <w:rsid w:val="006D0DE9"/>
    <w:rsid w:val="006F07FB"/>
    <w:rsid w:val="00715E51"/>
    <w:rsid w:val="00763B69"/>
    <w:rsid w:val="007E0481"/>
    <w:rsid w:val="00866EB1"/>
    <w:rsid w:val="008700D0"/>
    <w:rsid w:val="008A540C"/>
    <w:rsid w:val="008C721D"/>
    <w:rsid w:val="00900AA6"/>
    <w:rsid w:val="00906348"/>
    <w:rsid w:val="00927851"/>
    <w:rsid w:val="009831B4"/>
    <w:rsid w:val="009A4F1F"/>
    <w:rsid w:val="009B1E01"/>
    <w:rsid w:val="009B66E9"/>
    <w:rsid w:val="009D4DAA"/>
    <w:rsid w:val="00A80435"/>
    <w:rsid w:val="00B07CA5"/>
    <w:rsid w:val="00B27566"/>
    <w:rsid w:val="00B33C2D"/>
    <w:rsid w:val="00B92405"/>
    <w:rsid w:val="00C50E92"/>
    <w:rsid w:val="00CA3DB9"/>
    <w:rsid w:val="00CA4985"/>
    <w:rsid w:val="00CA59C3"/>
    <w:rsid w:val="00CB44ED"/>
    <w:rsid w:val="00CD23D4"/>
    <w:rsid w:val="00D35AE5"/>
    <w:rsid w:val="00D9334A"/>
    <w:rsid w:val="00E5199B"/>
    <w:rsid w:val="00E93E25"/>
    <w:rsid w:val="00F53553"/>
    <w:rsid w:val="00F56E80"/>
    <w:rsid w:val="00F70EFA"/>
    <w:rsid w:val="00FD2FB0"/>
    <w:rsid w:val="00FE1BD1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0F4EA-1A94-4870-A7ED-46A79D3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CA3D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uiPriority w:val="99"/>
    <w:rsid w:val="00715E51"/>
    <w:rPr>
      <w:sz w:val="20"/>
    </w:rPr>
  </w:style>
  <w:style w:type="character" w:customStyle="1" w:styleId="CharacterStyle1">
    <w:name w:val="Character Style 1"/>
    <w:uiPriority w:val="99"/>
    <w:rsid w:val="00715E51"/>
    <w:rPr>
      <w:rFonts w:ascii="Arial" w:hAnsi="Arial"/>
      <w:sz w:val="19"/>
    </w:rPr>
  </w:style>
  <w:style w:type="paragraph" w:customStyle="1" w:styleId="Style1">
    <w:name w:val="Style 1"/>
    <w:basedOn w:val="Standaard"/>
    <w:uiPriority w:val="99"/>
    <w:rsid w:val="003F35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basedOn w:val="Standaard"/>
    <w:uiPriority w:val="99"/>
    <w:rsid w:val="003F353B"/>
    <w:pPr>
      <w:widowControl w:val="0"/>
      <w:autoSpaceDE w:val="0"/>
      <w:autoSpaceDN w:val="0"/>
      <w:adjustRightInd w:val="0"/>
    </w:pPr>
    <w:rPr>
      <w:sz w:val="19"/>
      <w:szCs w:val="19"/>
      <w:lang w:val="en-US"/>
    </w:rPr>
  </w:style>
  <w:style w:type="character" w:customStyle="1" w:styleId="Kop1Char">
    <w:name w:val="Kop 1 Char"/>
    <w:link w:val="Kop1"/>
    <w:rsid w:val="00CA3D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indnoottekst">
    <w:name w:val="endnote text"/>
    <w:basedOn w:val="Standaard"/>
    <w:link w:val="EindnoottekstChar"/>
    <w:rsid w:val="00CA3DB9"/>
    <w:rPr>
      <w:sz w:val="20"/>
      <w:szCs w:val="20"/>
    </w:rPr>
  </w:style>
  <w:style w:type="character" w:customStyle="1" w:styleId="EindnoottekstChar">
    <w:name w:val="Eindnoottekst Char"/>
    <w:link w:val="Eindnoottekst"/>
    <w:rsid w:val="00CA3DB9"/>
    <w:rPr>
      <w:rFonts w:ascii="Arial" w:hAnsi="Arial" w:cs="Arial"/>
    </w:rPr>
  </w:style>
  <w:style w:type="character" w:styleId="Eindnootmarkering">
    <w:name w:val="endnote reference"/>
    <w:rsid w:val="00CA3DB9"/>
    <w:rPr>
      <w:vertAlign w:val="superscript"/>
    </w:rPr>
  </w:style>
  <w:style w:type="character" w:customStyle="1" w:styleId="VoettekstChar">
    <w:name w:val="Voettekst Char"/>
    <w:link w:val="Voettekst"/>
    <w:uiPriority w:val="99"/>
    <w:rsid w:val="00610319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2930-B7F2-4493-BD77-8F894C7F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Procedure / werkwijze / protocol / regeling / reglement</vt:lpstr>
    </vt:vector>
  </TitlesOfParts>
  <Company>Niftarlake College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/ werkwijze / protocol / regeling / reglement</dc:title>
  <dc:subject/>
  <dc:creator>Hans Wessels</dc:creator>
  <cp:keywords/>
  <cp:lastModifiedBy>Administrator</cp:lastModifiedBy>
  <cp:revision>2</cp:revision>
  <cp:lastPrinted>2014-02-05T12:54:00Z</cp:lastPrinted>
  <dcterms:created xsi:type="dcterms:W3CDTF">2018-01-31T10:26:00Z</dcterms:created>
  <dcterms:modified xsi:type="dcterms:W3CDTF">2018-01-31T10:26:00Z</dcterms:modified>
</cp:coreProperties>
</file>